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</w:tblGrid>
      <w:tr w:rsidR="007132D9" w:rsidTr="007132D9">
        <w:tc>
          <w:tcPr>
            <w:tcW w:w="5036" w:type="dxa"/>
          </w:tcPr>
          <w:p w:rsidR="007132D9" w:rsidRDefault="007132D9">
            <w:pPr>
              <w:jc w:val="center"/>
              <w:rPr>
                <w:sz w:val="22"/>
              </w:rPr>
            </w:pPr>
          </w:p>
          <w:p w:rsidR="007132D9" w:rsidRDefault="007132D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АДМИНИСТРАЦИЯ</w:t>
            </w:r>
          </w:p>
          <w:p w:rsidR="007132D9" w:rsidRDefault="007132D9">
            <w:pPr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 xml:space="preserve">МУНИЦИПАЛЬНОГО </w:t>
            </w:r>
            <w:r>
              <w:rPr>
                <w:b/>
                <w:bCs/>
                <w:sz w:val="22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</w:rPr>
              <w:t xml:space="preserve">   БОЛДЫРЕВСКИЙ</w:t>
            </w:r>
          </w:p>
          <w:p w:rsidR="007132D9" w:rsidRDefault="007132D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СЕЛЬСОВЕТ</w:t>
            </w:r>
          </w:p>
          <w:p w:rsidR="007132D9" w:rsidRDefault="007132D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ТАШЛИНСКОГО РАЙОНА</w:t>
            </w:r>
          </w:p>
          <w:p w:rsidR="007132D9" w:rsidRDefault="007132D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ОРЕНБУРГСКОЙ ОБЛАСТИ</w:t>
            </w:r>
          </w:p>
          <w:p w:rsidR="007132D9" w:rsidRDefault="007132D9">
            <w:pPr>
              <w:jc w:val="center"/>
              <w:rPr>
                <w:b/>
                <w:bCs/>
                <w:sz w:val="22"/>
              </w:rPr>
            </w:pPr>
          </w:p>
          <w:p w:rsidR="007132D9" w:rsidRDefault="007132D9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ПОСТАНОВЛЕНИЕ</w:t>
            </w:r>
          </w:p>
          <w:p w:rsidR="007132D9" w:rsidRDefault="007132D9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132D9" w:rsidTr="007132D9">
        <w:tc>
          <w:tcPr>
            <w:tcW w:w="5036" w:type="dxa"/>
            <w:hideMark/>
          </w:tcPr>
          <w:p w:rsidR="007132D9" w:rsidRDefault="007132D9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</w:t>
            </w:r>
            <w:r w:rsidR="00E87318">
              <w:rPr>
                <w:b/>
                <w:bCs/>
                <w:color w:val="000000"/>
                <w:sz w:val="22"/>
              </w:rPr>
              <w:t xml:space="preserve">                </w:t>
            </w:r>
            <w:proofErr w:type="gramStart"/>
            <w:r w:rsidR="00E87318">
              <w:rPr>
                <w:b/>
                <w:bCs/>
                <w:color w:val="000000"/>
                <w:sz w:val="22"/>
              </w:rPr>
              <w:t>08.11.2022  №</w:t>
            </w:r>
            <w:proofErr w:type="gramEnd"/>
            <w:r w:rsidR="00E87318">
              <w:rPr>
                <w:b/>
                <w:bCs/>
                <w:color w:val="000000"/>
                <w:sz w:val="22"/>
              </w:rPr>
              <w:t xml:space="preserve"> 63</w:t>
            </w:r>
            <w:r>
              <w:rPr>
                <w:b/>
                <w:bCs/>
                <w:color w:val="000000"/>
                <w:sz w:val="22"/>
              </w:rPr>
              <w:t>-п</w:t>
            </w:r>
          </w:p>
          <w:p w:rsidR="007132D9" w:rsidRDefault="007132D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t xml:space="preserve">                        </w:t>
            </w:r>
            <w:r>
              <w:rPr>
                <w:b/>
                <w:bCs/>
                <w:sz w:val="22"/>
              </w:rPr>
              <w:t xml:space="preserve">      с. Болдырево</w:t>
            </w:r>
          </w:p>
        </w:tc>
      </w:tr>
    </w:tbl>
    <w:p w:rsidR="007132D9" w:rsidRDefault="007132D9" w:rsidP="007132D9">
      <w:pPr>
        <w:jc w:val="both"/>
        <w:outlineLvl w:val="0"/>
      </w:pPr>
    </w:p>
    <w:p w:rsidR="007132D9" w:rsidRDefault="007132D9" w:rsidP="007132D9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Об утверждении методики </w:t>
      </w:r>
    </w:p>
    <w:p w:rsidR="007132D9" w:rsidRDefault="007132D9" w:rsidP="007132D9">
      <w:pPr>
        <w:rPr>
          <w:sz w:val="24"/>
          <w:szCs w:val="24"/>
        </w:rPr>
      </w:pPr>
      <w:r>
        <w:rPr>
          <w:sz w:val="24"/>
          <w:szCs w:val="24"/>
        </w:rPr>
        <w:t xml:space="preserve">формирования бюджета </w:t>
      </w:r>
    </w:p>
    <w:p w:rsidR="007132D9" w:rsidRDefault="007132D9" w:rsidP="007132D9">
      <w:pPr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7132D9" w:rsidRDefault="007132D9" w:rsidP="007132D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Болдыревский</w:t>
      </w:r>
      <w:proofErr w:type="spellEnd"/>
      <w:r>
        <w:rPr>
          <w:sz w:val="24"/>
          <w:szCs w:val="24"/>
        </w:rPr>
        <w:t xml:space="preserve"> сельсовет на </w:t>
      </w:r>
    </w:p>
    <w:p w:rsidR="007132D9" w:rsidRDefault="00E87318" w:rsidP="007132D9">
      <w:pPr>
        <w:rPr>
          <w:sz w:val="24"/>
          <w:szCs w:val="24"/>
        </w:rPr>
      </w:pPr>
      <w:r>
        <w:rPr>
          <w:sz w:val="24"/>
          <w:szCs w:val="24"/>
        </w:rPr>
        <w:t>2023 год и плановый период 2024 и 2025</w:t>
      </w:r>
      <w:r w:rsidR="007132D9">
        <w:rPr>
          <w:sz w:val="24"/>
          <w:szCs w:val="24"/>
        </w:rPr>
        <w:t xml:space="preserve"> годов</w:t>
      </w:r>
    </w:p>
    <w:p w:rsidR="007132D9" w:rsidRDefault="003958FA" w:rsidP="003958FA">
      <w:pPr>
        <w:tabs>
          <w:tab w:val="left" w:pos="3315"/>
        </w:tabs>
        <w:jc w:val="both"/>
        <w:outlineLvl w:val="0"/>
      </w:pPr>
      <w:r>
        <w:tab/>
      </w:r>
    </w:p>
    <w:bookmarkEnd w:id="0"/>
    <w:p w:rsidR="007132D9" w:rsidRDefault="007132D9" w:rsidP="007132D9">
      <w:pPr>
        <w:jc w:val="both"/>
        <w:outlineLvl w:val="0"/>
      </w:pPr>
      <w:r>
        <w:t xml:space="preserve">       </w:t>
      </w:r>
    </w:p>
    <w:p w:rsidR="007132D9" w:rsidRDefault="007132D9" w:rsidP="007132D9">
      <w:pPr>
        <w:jc w:val="both"/>
        <w:outlineLvl w:val="0"/>
      </w:pPr>
    </w:p>
    <w:p w:rsidR="007132D9" w:rsidRDefault="007132D9" w:rsidP="007132D9">
      <w:pPr>
        <w:suppressAutoHyphens/>
        <w:ind w:firstLine="567"/>
        <w:jc w:val="both"/>
      </w:pPr>
      <w:r>
        <w:t xml:space="preserve">В целях подготовки </w:t>
      </w:r>
      <w:proofErr w:type="gramStart"/>
      <w:r>
        <w:t>проекта  бюджета</w:t>
      </w:r>
      <w:proofErr w:type="gramEnd"/>
      <w:r>
        <w:t xml:space="preserve"> муниципального образования </w:t>
      </w:r>
      <w:proofErr w:type="spellStart"/>
      <w:r>
        <w:t>Болдыревский</w:t>
      </w:r>
      <w:proofErr w:type="spellEnd"/>
      <w:r w:rsidR="00E87318">
        <w:t xml:space="preserve"> сельсовет на 2023 год и плановый период 2024 и 2025</w:t>
      </w:r>
      <w:r>
        <w:t xml:space="preserve"> годов:</w:t>
      </w:r>
    </w:p>
    <w:p w:rsidR="007132D9" w:rsidRDefault="007132D9" w:rsidP="007132D9">
      <w:pPr>
        <w:suppressAutoHyphens/>
        <w:ind w:firstLine="567"/>
        <w:jc w:val="both"/>
      </w:pPr>
      <w:r>
        <w:t xml:space="preserve">1. Утвердить методику </w:t>
      </w:r>
      <w:proofErr w:type="gramStart"/>
      <w:r>
        <w:t>формирования  бюджета</w:t>
      </w:r>
      <w:proofErr w:type="gramEnd"/>
      <w:r>
        <w:t xml:space="preserve"> муниципального образования </w:t>
      </w:r>
      <w:proofErr w:type="spellStart"/>
      <w:r>
        <w:t>Болдыревский</w:t>
      </w:r>
      <w:proofErr w:type="spellEnd"/>
      <w:r>
        <w:t xml:space="preserve"> сельсовет согласно приложению.</w:t>
      </w:r>
    </w:p>
    <w:p w:rsidR="007132D9" w:rsidRDefault="007132D9" w:rsidP="007132D9">
      <w:pPr>
        <w:suppressAutoHyphens/>
        <w:ind w:firstLine="567"/>
        <w:jc w:val="both"/>
      </w:pPr>
      <w:r>
        <w:t>2. Постановление вступает в силу после его обнародования.</w:t>
      </w:r>
    </w:p>
    <w:p w:rsidR="007132D9" w:rsidRDefault="007132D9" w:rsidP="007132D9">
      <w:pPr>
        <w:suppressAutoHyphens/>
        <w:ind w:firstLine="567"/>
        <w:jc w:val="both"/>
      </w:pPr>
      <w:r>
        <w:t>3. Контроль за исполнением настоящего постановления оставляю за собой.</w:t>
      </w:r>
    </w:p>
    <w:p w:rsidR="007132D9" w:rsidRDefault="007132D9" w:rsidP="007132D9">
      <w:pPr>
        <w:jc w:val="both"/>
      </w:pPr>
    </w:p>
    <w:p w:rsidR="007132D9" w:rsidRDefault="007132D9" w:rsidP="007132D9">
      <w:pPr>
        <w:jc w:val="both"/>
      </w:pPr>
    </w:p>
    <w:p w:rsidR="007132D9" w:rsidRDefault="007132D9" w:rsidP="007132D9">
      <w:pPr>
        <w:jc w:val="both"/>
      </w:pPr>
    </w:p>
    <w:p w:rsidR="007132D9" w:rsidRDefault="007132D9" w:rsidP="007132D9">
      <w:pPr>
        <w:jc w:val="both"/>
      </w:pPr>
    </w:p>
    <w:p w:rsidR="007132D9" w:rsidRDefault="007132D9" w:rsidP="007132D9">
      <w:pPr>
        <w:jc w:val="both"/>
      </w:pPr>
    </w:p>
    <w:p w:rsidR="007132D9" w:rsidRDefault="007132D9" w:rsidP="007132D9">
      <w:pPr>
        <w:jc w:val="both"/>
      </w:pPr>
    </w:p>
    <w:p w:rsidR="007132D9" w:rsidRDefault="007132D9" w:rsidP="007132D9">
      <w:pPr>
        <w:jc w:val="both"/>
      </w:pPr>
    </w:p>
    <w:p w:rsidR="007132D9" w:rsidRDefault="007132D9" w:rsidP="007132D9">
      <w:pPr>
        <w:jc w:val="both"/>
      </w:pPr>
    </w:p>
    <w:p w:rsidR="007132D9" w:rsidRDefault="007132D9" w:rsidP="007132D9">
      <w:pPr>
        <w:jc w:val="both"/>
        <w:outlineLvl w:val="0"/>
      </w:pPr>
      <w:r>
        <w:t>Глава муниципального образования                                      Н.В. Широкова</w:t>
      </w:r>
    </w:p>
    <w:p w:rsidR="007132D9" w:rsidRDefault="007132D9" w:rsidP="007132D9">
      <w:pPr>
        <w:jc w:val="both"/>
        <w:outlineLvl w:val="0"/>
      </w:pPr>
      <w:r>
        <w:t xml:space="preserve"> </w:t>
      </w:r>
    </w:p>
    <w:p w:rsidR="007132D9" w:rsidRDefault="007132D9" w:rsidP="007132D9">
      <w:pPr>
        <w:rPr>
          <w:szCs w:val="28"/>
        </w:rPr>
      </w:pPr>
    </w:p>
    <w:p w:rsidR="007132D9" w:rsidRDefault="007132D9" w:rsidP="007132D9">
      <w:pPr>
        <w:rPr>
          <w:szCs w:val="28"/>
        </w:rPr>
      </w:pPr>
    </w:p>
    <w:p w:rsidR="007132D9" w:rsidRDefault="007132D9" w:rsidP="007132D9">
      <w:pPr>
        <w:rPr>
          <w:szCs w:val="28"/>
        </w:rPr>
      </w:pPr>
    </w:p>
    <w:p w:rsidR="007132D9" w:rsidRDefault="007132D9" w:rsidP="007132D9">
      <w:pPr>
        <w:rPr>
          <w:szCs w:val="28"/>
        </w:rPr>
      </w:pPr>
    </w:p>
    <w:p w:rsidR="007132D9" w:rsidRDefault="007132D9" w:rsidP="007132D9">
      <w:pPr>
        <w:rPr>
          <w:szCs w:val="28"/>
        </w:rPr>
      </w:pPr>
    </w:p>
    <w:p w:rsidR="007132D9" w:rsidRDefault="007132D9" w:rsidP="007132D9">
      <w:pPr>
        <w:rPr>
          <w:szCs w:val="28"/>
        </w:rPr>
      </w:pPr>
      <w:r>
        <w:rPr>
          <w:szCs w:val="28"/>
        </w:rPr>
        <w:t>Разослано: администрации района, прокуратуре, в места обнародования</w:t>
      </w:r>
    </w:p>
    <w:p w:rsidR="007132D9" w:rsidRDefault="007132D9" w:rsidP="007132D9">
      <w:pPr>
        <w:rPr>
          <w:szCs w:val="28"/>
        </w:rPr>
      </w:pPr>
    </w:p>
    <w:p w:rsidR="007132D9" w:rsidRDefault="007132D9" w:rsidP="007132D9">
      <w:pPr>
        <w:ind w:left="6379"/>
        <w:rPr>
          <w:szCs w:val="28"/>
        </w:rPr>
      </w:pPr>
    </w:p>
    <w:p w:rsidR="007132D9" w:rsidRDefault="007132D9" w:rsidP="007132D9">
      <w:pPr>
        <w:ind w:left="6379"/>
        <w:rPr>
          <w:szCs w:val="28"/>
        </w:rPr>
      </w:pPr>
    </w:p>
    <w:p w:rsidR="007132D9" w:rsidRDefault="007132D9" w:rsidP="007132D9">
      <w:pPr>
        <w:ind w:left="6379"/>
        <w:rPr>
          <w:szCs w:val="28"/>
        </w:rPr>
      </w:pPr>
    </w:p>
    <w:p w:rsidR="007132D9" w:rsidRDefault="007132D9" w:rsidP="007132D9">
      <w:pPr>
        <w:ind w:left="6379"/>
        <w:rPr>
          <w:szCs w:val="28"/>
        </w:rPr>
      </w:pPr>
      <w:r>
        <w:rPr>
          <w:szCs w:val="28"/>
        </w:rPr>
        <w:lastRenderedPageBreak/>
        <w:t xml:space="preserve">Приложение к </w:t>
      </w:r>
    </w:p>
    <w:p w:rsidR="007132D9" w:rsidRDefault="007132D9" w:rsidP="007132D9">
      <w:pPr>
        <w:ind w:left="6379"/>
        <w:rPr>
          <w:szCs w:val="28"/>
        </w:rPr>
      </w:pPr>
      <w:r>
        <w:rPr>
          <w:szCs w:val="28"/>
        </w:rPr>
        <w:t>постановлению</w:t>
      </w:r>
    </w:p>
    <w:p w:rsidR="007132D9" w:rsidRDefault="007132D9" w:rsidP="007132D9">
      <w:pPr>
        <w:ind w:left="6379"/>
        <w:rPr>
          <w:szCs w:val="28"/>
        </w:rPr>
      </w:pPr>
      <w:r>
        <w:rPr>
          <w:szCs w:val="28"/>
        </w:rPr>
        <w:t xml:space="preserve">администрации </w:t>
      </w:r>
    </w:p>
    <w:p w:rsidR="007132D9" w:rsidRDefault="00E87318" w:rsidP="007132D9">
      <w:pPr>
        <w:ind w:left="6379"/>
        <w:rPr>
          <w:szCs w:val="28"/>
        </w:rPr>
      </w:pPr>
      <w:r>
        <w:rPr>
          <w:szCs w:val="28"/>
        </w:rPr>
        <w:t>от 08.11.2022 № 63</w:t>
      </w:r>
      <w:r w:rsidR="007132D9">
        <w:rPr>
          <w:szCs w:val="28"/>
        </w:rPr>
        <w:t>-п</w:t>
      </w:r>
    </w:p>
    <w:p w:rsidR="007132D9" w:rsidRDefault="007132D9" w:rsidP="007132D9">
      <w:pPr>
        <w:rPr>
          <w:szCs w:val="28"/>
        </w:rPr>
      </w:pPr>
    </w:p>
    <w:p w:rsidR="007132D9" w:rsidRDefault="007132D9" w:rsidP="007132D9">
      <w:pPr>
        <w:jc w:val="center"/>
        <w:rPr>
          <w:b/>
          <w:szCs w:val="28"/>
        </w:rPr>
      </w:pPr>
      <w:r>
        <w:rPr>
          <w:b/>
          <w:szCs w:val="28"/>
        </w:rPr>
        <w:t>Методика</w:t>
      </w:r>
    </w:p>
    <w:p w:rsidR="007132D9" w:rsidRDefault="007132D9" w:rsidP="007132D9">
      <w:pPr>
        <w:tabs>
          <w:tab w:val="left" w:pos="1701"/>
        </w:tabs>
        <w:jc w:val="center"/>
        <w:rPr>
          <w:b/>
          <w:szCs w:val="28"/>
        </w:rPr>
      </w:pPr>
      <w:proofErr w:type="gramStart"/>
      <w:r>
        <w:rPr>
          <w:b/>
          <w:szCs w:val="28"/>
        </w:rPr>
        <w:t>формирования  бюджета</w:t>
      </w:r>
      <w:proofErr w:type="gramEnd"/>
      <w:r>
        <w:rPr>
          <w:b/>
          <w:szCs w:val="28"/>
        </w:rPr>
        <w:t xml:space="preserve"> муниципального образовани</w:t>
      </w:r>
      <w:r w:rsidR="00E87318">
        <w:rPr>
          <w:b/>
          <w:szCs w:val="28"/>
        </w:rPr>
        <w:t xml:space="preserve">я </w:t>
      </w:r>
      <w:proofErr w:type="spellStart"/>
      <w:r w:rsidR="00E87318">
        <w:rPr>
          <w:b/>
          <w:szCs w:val="28"/>
        </w:rPr>
        <w:t>Болдыревский</w:t>
      </w:r>
      <w:proofErr w:type="spellEnd"/>
      <w:r w:rsidR="00E87318">
        <w:rPr>
          <w:b/>
          <w:szCs w:val="28"/>
        </w:rPr>
        <w:t xml:space="preserve"> сельсовет на 2023 год и плановый период 2024 и 2025</w:t>
      </w:r>
      <w:r>
        <w:rPr>
          <w:b/>
          <w:szCs w:val="28"/>
        </w:rPr>
        <w:t xml:space="preserve"> годов</w:t>
      </w:r>
    </w:p>
    <w:p w:rsidR="007132D9" w:rsidRDefault="007132D9" w:rsidP="007132D9">
      <w:pPr>
        <w:jc w:val="both"/>
        <w:rPr>
          <w:b/>
          <w:szCs w:val="28"/>
        </w:rPr>
      </w:pPr>
    </w:p>
    <w:p w:rsidR="007132D9" w:rsidRDefault="007132D9" w:rsidP="007132D9">
      <w:pPr>
        <w:ind w:firstLine="567"/>
        <w:jc w:val="both"/>
        <w:rPr>
          <w:szCs w:val="28"/>
        </w:rPr>
      </w:pPr>
      <w:r>
        <w:rPr>
          <w:szCs w:val="28"/>
        </w:rPr>
        <w:t xml:space="preserve">Настоящая Методика устанавливает основные подходы к формированию </w:t>
      </w:r>
      <w:proofErr w:type="gramStart"/>
      <w:r>
        <w:rPr>
          <w:szCs w:val="28"/>
        </w:rPr>
        <w:t>доходов  и</w:t>
      </w:r>
      <w:proofErr w:type="gramEnd"/>
      <w:r>
        <w:rPr>
          <w:szCs w:val="28"/>
        </w:rPr>
        <w:t xml:space="preserve"> расходов  бюджета муниципального образовани</w:t>
      </w:r>
      <w:r w:rsidR="00E87318">
        <w:rPr>
          <w:szCs w:val="28"/>
        </w:rPr>
        <w:t xml:space="preserve">я </w:t>
      </w:r>
      <w:proofErr w:type="spellStart"/>
      <w:r w:rsidR="00E87318">
        <w:rPr>
          <w:szCs w:val="28"/>
        </w:rPr>
        <w:t>Болдыревский</w:t>
      </w:r>
      <w:proofErr w:type="spellEnd"/>
      <w:r w:rsidR="00E87318">
        <w:rPr>
          <w:szCs w:val="28"/>
        </w:rPr>
        <w:t xml:space="preserve"> сельсовет на 2023 год и плановый период 2024 и 2025</w:t>
      </w:r>
      <w:r>
        <w:rPr>
          <w:szCs w:val="28"/>
        </w:rPr>
        <w:t xml:space="preserve"> годов.</w:t>
      </w:r>
    </w:p>
    <w:p w:rsidR="007132D9" w:rsidRDefault="007132D9" w:rsidP="007132D9">
      <w:pPr>
        <w:ind w:firstLine="567"/>
        <w:jc w:val="both"/>
        <w:rPr>
          <w:szCs w:val="28"/>
        </w:rPr>
      </w:pPr>
      <w:r>
        <w:rPr>
          <w:szCs w:val="28"/>
        </w:rPr>
        <w:t xml:space="preserve">Методика включает в себя разделы, определяющие порядок прогнозирования </w:t>
      </w:r>
      <w:proofErr w:type="gramStart"/>
      <w:r>
        <w:rPr>
          <w:szCs w:val="28"/>
        </w:rPr>
        <w:t>доходов  бюджета</w:t>
      </w:r>
      <w:proofErr w:type="gramEnd"/>
      <w:r>
        <w:rPr>
          <w:szCs w:val="28"/>
        </w:rPr>
        <w:t xml:space="preserve"> и формирования расходов бюджета по направлениям бюджетной политики.</w:t>
      </w:r>
    </w:p>
    <w:p w:rsidR="007132D9" w:rsidRDefault="007132D9" w:rsidP="007132D9">
      <w:pPr>
        <w:ind w:firstLine="567"/>
        <w:jc w:val="both"/>
        <w:rPr>
          <w:szCs w:val="28"/>
        </w:rPr>
      </w:pPr>
      <w:r>
        <w:rPr>
          <w:szCs w:val="28"/>
        </w:rPr>
        <w:t xml:space="preserve">В основу </w:t>
      </w:r>
      <w:proofErr w:type="gramStart"/>
      <w:r>
        <w:rPr>
          <w:szCs w:val="28"/>
        </w:rPr>
        <w:t>составления  бюджета</w:t>
      </w:r>
      <w:proofErr w:type="gramEnd"/>
      <w:r>
        <w:rPr>
          <w:szCs w:val="28"/>
        </w:rPr>
        <w:t xml:space="preserve"> му</w:t>
      </w:r>
      <w:r w:rsidR="00E87318">
        <w:rPr>
          <w:szCs w:val="28"/>
        </w:rPr>
        <w:t>ниципального образования на 2023 год и плановый период 2024 и 2025</w:t>
      </w:r>
      <w:r>
        <w:rPr>
          <w:szCs w:val="28"/>
        </w:rPr>
        <w:t xml:space="preserve"> годов положены:</w:t>
      </w:r>
    </w:p>
    <w:p w:rsidR="007132D9" w:rsidRDefault="007132D9" w:rsidP="007132D9">
      <w:pPr>
        <w:ind w:firstLine="567"/>
        <w:jc w:val="both"/>
        <w:rPr>
          <w:szCs w:val="28"/>
        </w:rPr>
      </w:pPr>
      <w:r>
        <w:rPr>
          <w:szCs w:val="28"/>
        </w:rPr>
        <w:t>- прогноз социально-экономического развития муниципального образовани</w:t>
      </w:r>
      <w:r w:rsidR="00E87318">
        <w:rPr>
          <w:szCs w:val="28"/>
        </w:rPr>
        <w:t xml:space="preserve">я </w:t>
      </w:r>
      <w:proofErr w:type="spellStart"/>
      <w:r w:rsidR="00E87318">
        <w:rPr>
          <w:szCs w:val="28"/>
        </w:rPr>
        <w:t>Болдыревский</w:t>
      </w:r>
      <w:proofErr w:type="spellEnd"/>
      <w:r w:rsidR="00E87318">
        <w:rPr>
          <w:szCs w:val="28"/>
        </w:rPr>
        <w:t xml:space="preserve"> сельсовет на 2023 год и плановый период 2024 и 2025</w:t>
      </w:r>
      <w:r>
        <w:rPr>
          <w:szCs w:val="28"/>
        </w:rPr>
        <w:t xml:space="preserve"> годов;</w:t>
      </w:r>
    </w:p>
    <w:p w:rsidR="007132D9" w:rsidRDefault="007132D9" w:rsidP="007132D9">
      <w:pPr>
        <w:ind w:firstLine="567"/>
        <w:jc w:val="both"/>
        <w:rPr>
          <w:szCs w:val="28"/>
        </w:rPr>
      </w:pPr>
      <w:r>
        <w:rPr>
          <w:szCs w:val="28"/>
        </w:rPr>
        <w:t>-основные направления бюджетной и налоговой политики муниципального образовани</w:t>
      </w:r>
      <w:r w:rsidR="00E87318">
        <w:rPr>
          <w:szCs w:val="28"/>
        </w:rPr>
        <w:t xml:space="preserve">я </w:t>
      </w:r>
      <w:proofErr w:type="spellStart"/>
      <w:r w:rsidR="00E87318">
        <w:rPr>
          <w:szCs w:val="28"/>
        </w:rPr>
        <w:t>Болдыревский</w:t>
      </w:r>
      <w:proofErr w:type="spellEnd"/>
      <w:r w:rsidR="00E87318">
        <w:rPr>
          <w:szCs w:val="28"/>
        </w:rPr>
        <w:t xml:space="preserve"> сельсовет на 2023 год и на плановый период 2024 и 2025</w:t>
      </w:r>
      <w:r>
        <w:rPr>
          <w:szCs w:val="28"/>
        </w:rPr>
        <w:t xml:space="preserve"> годов</w:t>
      </w:r>
    </w:p>
    <w:p w:rsidR="007132D9" w:rsidRDefault="007132D9" w:rsidP="007132D9">
      <w:pPr>
        <w:ind w:firstLine="567"/>
        <w:jc w:val="both"/>
        <w:rPr>
          <w:b/>
          <w:bCs/>
          <w:szCs w:val="28"/>
        </w:rPr>
      </w:pPr>
      <w:r>
        <w:rPr>
          <w:szCs w:val="28"/>
        </w:rPr>
        <w:t>-приоритеты бюджетной и налоговой политики, установленные на федеральном и областном уровне.</w:t>
      </w:r>
    </w:p>
    <w:p w:rsidR="007132D9" w:rsidRDefault="007132D9" w:rsidP="007132D9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32D9" w:rsidRDefault="007132D9" w:rsidP="007132D9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>
        <w:rPr>
          <w:rFonts w:ascii="Times New Roman" w:hAnsi="Times New Roman" w:cs="Times New Roman"/>
          <w:b/>
          <w:sz w:val="28"/>
          <w:szCs w:val="28"/>
        </w:rPr>
        <w:t xml:space="preserve"> Прогноз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доходов  бюджета</w:t>
      </w:r>
      <w:proofErr w:type="gramEnd"/>
    </w:p>
    <w:p w:rsidR="007132D9" w:rsidRDefault="007132D9" w:rsidP="007132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32D9" w:rsidRDefault="007132D9" w:rsidP="00713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и неналоговые доходы прогнозируются на основании методик, утвержденных главными администраторами доходов с учетом следующих особенностей:</w:t>
      </w:r>
    </w:p>
    <w:p w:rsidR="007132D9" w:rsidRDefault="007132D9" w:rsidP="00713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2D9" w:rsidRDefault="007132D9" w:rsidP="007132D9">
      <w:pPr>
        <w:shd w:val="clear" w:color="auto" w:fill="FFFFFF"/>
        <w:tabs>
          <w:tab w:val="left" w:pos="5812"/>
        </w:tabs>
        <w:ind w:firstLine="709"/>
        <w:jc w:val="both"/>
        <w:rPr>
          <w:szCs w:val="28"/>
        </w:rPr>
      </w:pPr>
      <w:r>
        <w:rPr>
          <w:szCs w:val="28"/>
        </w:rPr>
        <w:t>1. Общий прогнозный объем поступлений в бюджет налога на доходы физических лиц (НДФЛ всего) определяется как сумма прогнозных поступлений каждого вида налога.</w:t>
      </w:r>
    </w:p>
    <w:p w:rsidR="007132D9" w:rsidRDefault="007132D9" w:rsidP="007132D9">
      <w:pPr>
        <w:shd w:val="clear" w:color="auto" w:fill="FFFFFF"/>
        <w:tabs>
          <w:tab w:val="left" w:pos="5812"/>
        </w:tabs>
        <w:ind w:firstLine="709"/>
        <w:jc w:val="both"/>
        <w:rPr>
          <w:szCs w:val="28"/>
        </w:rPr>
      </w:pPr>
    </w:p>
    <w:p w:rsidR="007132D9" w:rsidRDefault="007132D9" w:rsidP="007132D9">
      <w:pPr>
        <w:shd w:val="clear" w:color="auto" w:fill="FFFFFF"/>
        <w:tabs>
          <w:tab w:val="left" w:pos="5812"/>
        </w:tabs>
        <w:jc w:val="center"/>
        <w:rPr>
          <w:szCs w:val="28"/>
        </w:rPr>
      </w:pPr>
      <w:r>
        <w:rPr>
          <w:szCs w:val="28"/>
        </w:rPr>
        <w:t>НДФЛ всего = НДФЛ1 + НДФЛ2 + НДФЛ3, где:</w:t>
      </w:r>
    </w:p>
    <w:p w:rsidR="007132D9" w:rsidRDefault="007132D9" w:rsidP="007132D9">
      <w:pPr>
        <w:shd w:val="clear" w:color="auto" w:fill="FFFFFF"/>
        <w:tabs>
          <w:tab w:val="left" w:pos="5812"/>
        </w:tabs>
        <w:ind w:firstLine="709"/>
        <w:jc w:val="both"/>
        <w:rPr>
          <w:color w:val="FF0000"/>
          <w:szCs w:val="28"/>
        </w:rPr>
      </w:pPr>
    </w:p>
    <w:p w:rsidR="007132D9" w:rsidRDefault="007132D9" w:rsidP="007132D9">
      <w:pPr>
        <w:shd w:val="clear" w:color="auto" w:fill="FFFFFF"/>
        <w:tabs>
          <w:tab w:val="left" w:pos="5812"/>
        </w:tabs>
        <w:ind w:firstLine="709"/>
        <w:jc w:val="both"/>
        <w:rPr>
          <w:szCs w:val="28"/>
        </w:rPr>
      </w:pPr>
      <w:r>
        <w:rPr>
          <w:szCs w:val="28"/>
        </w:rPr>
        <w:t>НДФЛ1 – объем поступлений налога на доходы физических лиц с                       доходов, источником которых является налоговый агент, за исключением        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</w:p>
    <w:p w:rsidR="007132D9" w:rsidRDefault="007132D9" w:rsidP="007132D9">
      <w:pPr>
        <w:shd w:val="clear" w:color="auto" w:fill="FFFFFF"/>
        <w:tabs>
          <w:tab w:val="left" w:pos="5812"/>
        </w:tabs>
        <w:ind w:firstLine="709"/>
        <w:jc w:val="both"/>
        <w:rPr>
          <w:szCs w:val="28"/>
        </w:rPr>
      </w:pPr>
      <w:r>
        <w:rPr>
          <w:szCs w:val="28"/>
        </w:rPr>
        <w:t xml:space="preserve">НДФЛ2 – объем поступлений налога на доходы физических лиц </w:t>
      </w:r>
      <w:proofErr w:type="gramStart"/>
      <w:r>
        <w:rPr>
          <w:szCs w:val="28"/>
        </w:rPr>
        <w:t>с  доходов</w:t>
      </w:r>
      <w:proofErr w:type="gramEnd"/>
      <w:r>
        <w:rPr>
          <w:szCs w:val="28"/>
        </w:rPr>
        <w:t xml:space="preserve">, полученных от осуществления деятельности физическими лицами, </w:t>
      </w:r>
      <w:r>
        <w:rPr>
          <w:szCs w:val="28"/>
        </w:rPr>
        <w:lastRenderedPageBreak/>
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</w:t>
      </w:r>
    </w:p>
    <w:p w:rsidR="007132D9" w:rsidRDefault="007132D9" w:rsidP="007132D9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НДФЛ3 – объем поступлений налога на доходы физических лиц </w:t>
      </w:r>
      <w:proofErr w:type="gramStart"/>
      <w:r>
        <w:rPr>
          <w:szCs w:val="28"/>
        </w:rPr>
        <w:t>с  доходов</w:t>
      </w:r>
      <w:proofErr w:type="gramEnd"/>
      <w:r>
        <w:rPr>
          <w:szCs w:val="28"/>
        </w:rPr>
        <w:t>, полученных физическими лицами в соответствии со статьей 228 Налогового кодекса Российской Федерации.</w:t>
      </w:r>
    </w:p>
    <w:p w:rsidR="007132D9" w:rsidRDefault="007132D9" w:rsidP="007132D9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1.1. Налог на доходы физических лиц рассчитывается исходя из </w:t>
      </w:r>
      <w:proofErr w:type="gramStart"/>
      <w:r>
        <w:rPr>
          <w:szCs w:val="28"/>
        </w:rPr>
        <w:t>прогнозируемого  фонда</w:t>
      </w:r>
      <w:proofErr w:type="gramEnd"/>
      <w:r>
        <w:rPr>
          <w:szCs w:val="28"/>
        </w:rPr>
        <w:t xml:space="preserve"> оплаты труда за 2021 год, за исключением налоговых вычетов, не подлежащих налогообложению. Прогнозируемый фонд оплаты труда рассчитан исходя из ожидаемого поступления НДФЛ за 2021 год с учетом </w:t>
      </w:r>
      <w:proofErr w:type="gramStart"/>
      <w:r>
        <w:rPr>
          <w:szCs w:val="28"/>
        </w:rPr>
        <w:t>роста  заработной</w:t>
      </w:r>
      <w:proofErr w:type="gramEnd"/>
      <w:r>
        <w:rPr>
          <w:szCs w:val="28"/>
        </w:rPr>
        <w:t xml:space="preserve"> платы на </w:t>
      </w:r>
      <w:r>
        <w:rPr>
          <w:color w:val="FF0000"/>
          <w:szCs w:val="28"/>
        </w:rPr>
        <w:t>1,050%</w:t>
      </w:r>
      <w:r>
        <w:rPr>
          <w:szCs w:val="28"/>
        </w:rPr>
        <w:t xml:space="preserve"> в 2022 году. Ожидаемое поступление НДФЛ обсчитано исходя из фактических поступлений данного налога в первом полугодии 2020 года и ожидаемого поступления НДФЛ во 2 полугодии 2020 года. Ожидаемое поступление НДФЛ во втором полугодии рассчитано исходя из среднего поступления за последние 3 года уровня поступления данного налога.</w:t>
      </w:r>
    </w:p>
    <w:p w:rsidR="007132D9" w:rsidRDefault="007132D9" w:rsidP="007132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прогнозировании налога учтен налог на доходы физических лиц, перечисленный налоговыми агентами по иным налоговым ставкам (30 процентов, 9 процентов, 35 процентов, 15 процентов и иным ставкам) согласно   формы № 5-НДФЛ за 2019 год.</w:t>
      </w:r>
    </w:p>
    <w:p w:rsidR="007132D9" w:rsidRDefault="007132D9" w:rsidP="007132D9">
      <w:pPr>
        <w:ind w:firstLine="709"/>
        <w:jc w:val="both"/>
        <w:rPr>
          <w:szCs w:val="28"/>
        </w:rPr>
      </w:pPr>
      <w:r>
        <w:rPr>
          <w:szCs w:val="28"/>
        </w:rPr>
        <w:t xml:space="preserve">Налог на доходы физических лиц зачисляется </w:t>
      </w:r>
      <w:proofErr w:type="gramStart"/>
      <w:r>
        <w:rPr>
          <w:szCs w:val="28"/>
        </w:rPr>
        <w:t>в  бюджет</w:t>
      </w:r>
      <w:proofErr w:type="gramEnd"/>
      <w:r>
        <w:rPr>
          <w:szCs w:val="28"/>
        </w:rPr>
        <w:t xml:space="preserve"> поселений по нормативу 15 процентов.</w:t>
      </w:r>
    </w:p>
    <w:p w:rsidR="007132D9" w:rsidRDefault="007132D9" w:rsidP="007132D9">
      <w:pPr>
        <w:ind w:firstLine="851"/>
        <w:jc w:val="both"/>
        <w:rPr>
          <w:szCs w:val="28"/>
        </w:rPr>
      </w:pPr>
      <w:r>
        <w:rPr>
          <w:szCs w:val="28"/>
        </w:rPr>
        <w:t>1.2. Прогнозный объем поступлений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практикой, в соответствии со статьей 227 Налогового кодекса Российской Федерации (НДФЛ2), рассчитывается исходя из оценки фактического поступления налога в текущем году с учетом роста прочих денежных доходов населения.</w:t>
      </w:r>
    </w:p>
    <w:p w:rsidR="007132D9" w:rsidRDefault="007132D9" w:rsidP="007132D9">
      <w:pPr>
        <w:ind w:firstLine="851"/>
        <w:jc w:val="both"/>
        <w:rPr>
          <w:szCs w:val="28"/>
        </w:rPr>
      </w:pPr>
      <w:r>
        <w:rPr>
          <w:szCs w:val="28"/>
        </w:rPr>
        <w:t xml:space="preserve">1.3. Прогнозный объем поступлений налога на доходы физических лиц </w:t>
      </w:r>
      <w:proofErr w:type="gramStart"/>
      <w:r>
        <w:rPr>
          <w:szCs w:val="28"/>
        </w:rPr>
        <w:t>с  доходов</w:t>
      </w:r>
      <w:proofErr w:type="gramEnd"/>
      <w:r>
        <w:rPr>
          <w:szCs w:val="28"/>
        </w:rPr>
        <w:t>, полученных физическими лицами в соответствии со статьей 228 Налогового кодекса Российской Федерации (НДФЛ3), рассчитывается исходя из общей суммы налога, подлежащей уплате (доплате) в бюджет, по представленным налогоплательщиками актуальным декларациям по налогу за отчетный год (отчет по форме № 5-ДДК) и темпа роста прочих денежных доходов населения.</w:t>
      </w:r>
    </w:p>
    <w:p w:rsidR="007132D9" w:rsidRDefault="007132D9" w:rsidP="007132D9">
      <w:pPr>
        <w:ind w:firstLine="851"/>
        <w:jc w:val="both"/>
        <w:rPr>
          <w:szCs w:val="28"/>
        </w:rPr>
      </w:pPr>
    </w:p>
    <w:p w:rsidR="007132D9" w:rsidRDefault="007132D9" w:rsidP="007132D9">
      <w:pPr>
        <w:ind w:firstLine="851"/>
        <w:jc w:val="both"/>
        <w:rPr>
          <w:szCs w:val="28"/>
        </w:rPr>
      </w:pPr>
      <w:r>
        <w:rPr>
          <w:szCs w:val="28"/>
        </w:rPr>
        <w:t>2. Расчет прогнозируемого объема поступлений единого сельскохозяйственного налога (ЕСХН) осуществляется по следующей формуле:</w:t>
      </w:r>
    </w:p>
    <w:p w:rsidR="007132D9" w:rsidRDefault="007132D9" w:rsidP="007132D9">
      <w:pPr>
        <w:ind w:firstLine="851"/>
        <w:jc w:val="both"/>
        <w:rPr>
          <w:szCs w:val="28"/>
        </w:rPr>
      </w:pPr>
    </w:p>
    <w:p w:rsidR="007132D9" w:rsidRDefault="007132D9" w:rsidP="007132D9">
      <w:pPr>
        <w:ind w:firstLine="851"/>
        <w:jc w:val="both"/>
        <w:rPr>
          <w:szCs w:val="28"/>
        </w:rPr>
      </w:pPr>
      <w:r>
        <w:rPr>
          <w:szCs w:val="28"/>
        </w:rPr>
        <w:t xml:space="preserve">ЕСХН = </w:t>
      </w:r>
      <w:proofErr w:type="spellStart"/>
      <w:r>
        <w:rPr>
          <w:szCs w:val="28"/>
        </w:rPr>
        <w:t>Н</w:t>
      </w:r>
      <w:r>
        <w:rPr>
          <w:szCs w:val="28"/>
          <w:vertAlign w:val="subscript"/>
        </w:rPr>
        <w:t>н</w:t>
      </w:r>
      <w:proofErr w:type="spellEnd"/>
      <w:r>
        <w:rPr>
          <w:szCs w:val="28"/>
          <w:vertAlign w:val="subscript"/>
        </w:rPr>
        <w:t xml:space="preserve"> </w:t>
      </w:r>
      <w:r>
        <w:rPr>
          <w:szCs w:val="28"/>
          <w:lang w:val="en-US"/>
        </w:rPr>
        <w:t>x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>, где:</w:t>
      </w:r>
    </w:p>
    <w:p w:rsidR="007132D9" w:rsidRDefault="007132D9" w:rsidP="007132D9">
      <w:pPr>
        <w:ind w:firstLine="851"/>
        <w:jc w:val="both"/>
        <w:rPr>
          <w:szCs w:val="28"/>
        </w:rPr>
      </w:pPr>
    </w:p>
    <w:p w:rsidR="007132D9" w:rsidRDefault="007132D9" w:rsidP="007132D9">
      <w:pPr>
        <w:ind w:firstLine="851"/>
        <w:jc w:val="both"/>
        <w:rPr>
          <w:szCs w:val="28"/>
        </w:rPr>
      </w:pPr>
      <w:proofErr w:type="spellStart"/>
      <w:r>
        <w:rPr>
          <w:szCs w:val="28"/>
        </w:rPr>
        <w:lastRenderedPageBreak/>
        <w:t>Н</w:t>
      </w:r>
      <w:r>
        <w:rPr>
          <w:szCs w:val="28"/>
          <w:vertAlign w:val="subscript"/>
        </w:rPr>
        <w:t>н</w:t>
      </w:r>
      <w:proofErr w:type="spellEnd"/>
      <w:r>
        <w:rPr>
          <w:szCs w:val="28"/>
        </w:rPr>
        <w:t xml:space="preserve"> – сумма начисленного налога в отчетном периоде, тыс. рублей;</w:t>
      </w:r>
    </w:p>
    <w:p w:rsidR="007132D9" w:rsidRDefault="007132D9" w:rsidP="007132D9">
      <w:pPr>
        <w:ind w:firstLine="851"/>
        <w:jc w:val="both"/>
        <w:rPr>
          <w:szCs w:val="28"/>
        </w:rPr>
      </w:pPr>
      <w:r>
        <w:rPr>
          <w:szCs w:val="28"/>
        </w:rPr>
        <w:t>И – индекс-дефлятор продукции сельского хозяйства в хозяйствах всех категорий на соответствующий год, %.</w:t>
      </w:r>
    </w:p>
    <w:p w:rsidR="007132D9" w:rsidRDefault="007132D9" w:rsidP="007132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Единый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сельскохозяйственный  налог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зачисляется в  бюджет поселений по нормативу 50 процентов.</w:t>
      </w:r>
    </w:p>
    <w:p w:rsidR="007132D9" w:rsidRDefault="007132D9" w:rsidP="007132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32D9" w:rsidRDefault="007132D9" w:rsidP="007132D9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3. При расчете налога на имущество физических лиц в переходный период применяется следующая формула:</w:t>
      </w:r>
    </w:p>
    <w:p w:rsidR="007132D9" w:rsidRDefault="007132D9" w:rsidP="007132D9">
      <w:pPr>
        <w:tabs>
          <w:tab w:val="left" w:pos="1134"/>
        </w:tabs>
        <w:ind w:firstLine="567"/>
        <w:jc w:val="center"/>
        <w:rPr>
          <w:bCs/>
          <w:szCs w:val="28"/>
        </w:rPr>
      </w:pPr>
    </w:p>
    <w:p w:rsidR="007132D9" w:rsidRDefault="007132D9" w:rsidP="007132D9">
      <w:pPr>
        <w:tabs>
          <w:tab w:val="left" w:pos="1134"/>
        </w:tabs>
        <w:ind w:firstLine="567"/>
        <w:jc w:val="center"/>
        <w:rPr>
          <w:bCs/>
          <w:szCs w:val="28"/>
        </w:rPr>
      </w:pPr>
      <w:r>
        <w:rPr>
          <w:bCs/>
          <w:szCs w:val="28"/>
        </w:rPr>
        <w:t>Нимф = ((</w:t>
      </w:r>
      <w:proofErr w:type="spellStart"/>
      <w:r>
        <w:rPr>
          <w:bCs/>
          <w:szCs w:val="28"/>
        </w:rPr>
        <w:t>Нкад</w:t>
      </w:r>
      <w:proofErr w:type="spellEnd"/>
      <w:r>
        <w:rPr>
          <w:bCs/>
          <w:szCs w:val="28"/>
        </w:rPr>
        <w:t xml:space="preserve"> - Нин) х </w:t>
      </w:r>
      <w:proofErr w:type="spellStart"/>
      <w:r>
        <w:rPr>
          <w:bCs/>
          <w:szCs w:val="28"/>
        </w:rPr>
        <w:t>Кперех</w:t>
      </w:r>
      <w:proofErr w:type="spellEnd"/>
      <w:r>
        <w:rPr>
          <w:bCs/>
          <w:szCs w:val="28"/>
        </w:rPr>
        <w:t xml:space="preserve"> + Нин) х </w:t>
      </w:r>
      <w:proofErr w:type="spellStart"/>
      <w:r>
        <w:rPr>
          <w:bCs/>
          <w:szCs w:val="28"/>
        </w:rPr>
        <w:t>Соб</w:t>
      </w:r>
      <w:proofErr w:type="spellEnd"/>
      <w:r>
        <w:rPr>
          <w:bCs/>
          <w:szCs w:val="28"/>
        </w:rPr>
        <w:t>,</w:t>
      </w:r>
    </w:p>
    <w:p w:rsidR="007132D9" w:rsidRDefault="007132D9" w:rsidP="007132D9">
      <w:pPr>
        <w:tabs>
          <w:tab w:val="left" w:pos="1134"/>
        </w:tabs>
        <w:ind w:firstLine="567"/>
        <w:rPr>
          <w:szCs w:val="28"/>
        </w:rPr>
      </w:pPr>
      <w:r>
        <w:rPr>
          <w:szCs w:val="28"/>
        </w:rPr>
        <w:t>где:</w:t>
      </w:r>
    </w:p>
    <w:p w:rsidR="007132D9" w:rsidRDefault="007132D9" w:rsidP="007132D9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bCs/>
          <w:szCs w:val="28"/>
        </w:rPr>
        <w:t>Нимф</w:t>
      </w:r>
      <w:r>
        <w:rPr>
          <w:szCs w:val="28"/>
        </w:rPr>
        <w:t xml:space="preserve"> – прогнозируемая сумма налога;</w:t>
      </w:r>
    </w:p>
    <w:p w:rsidR="007132D9" w:rsidRDefault="007132D9" w:rsidP="007132D9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>
        <w:rPr>
          <w:bCs/>
          <w:szCs w:val="28"/>
        </w:rPr>
        <w:t>Нкад</w:t>
      </w:r>
      <w:proofErr w:type="spellEnd"/>
      <w:r>
        <w:rPr>
          <w:bCs/>
          <w:szCs w:val="28"/>
        </w:rPr>
        <w:t xml:space="preserve"> </w:t>
      </w:r>
      <w:r>
        <w:rPr>
          <w:szCs w:val="28"/>
        </w:rPr>
        <w:t>–</w:t>
      </w:r>
      <w:r>
        <w:rPr>
          <w:bCs/>
          <w:szCs w:val="28"/>
        </w:rPr>
        <w:t xml:space="preserve"> </w:t>
      </w:r>
      <w:r>
        <w:rPr>
          <w:szCs w:val="28"/>
        </w:rPr>
        <w:t>сумма налога, исчисленная исходя из кадастровой стоимости имущества;</w:t>
      </w:r>
    </w:p>
    <w:p w:rsidR="007132D9" w:rsidRDefault="007132D9" w:rsidP="007132D9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Нин </w:t>
      </w:r>
      <w:r>
        <w:rPr>
          <w:szCs w:val="28"/>
        </w:rPr>
        <w:t>–</w:t>
      </w:r>
      <w:r>
        <w:rPr>
          <w:bCs/>
          <w:szCs w:val="28"/>
        </w:rPr>
        <w:t xml:space="preserve"> сумма налога, исчисленная исходя из инвентаризационной стоимости имущества;</w:t>
      </w:r>
    </w:p>
    <w:p w:rsidR="007132D9" w:rsidRDefault="007132D9" w:rsidP="007132D9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>
        <w:rPr>
          <w:bCs/>
          <w:szCs w:val="28"/>
        </w:rPr>
        <w:t>Кперех</w:t>
      </w:r>
      <w:proofErr w:type="spellEnd"/>
      <w:r>
        <w:rPr>
          <w:bCs/>
          <w:szCs w:val="28"/>
        </w:rPr>
        <w:t xml:space="preserve"> - </w:t>
      </w:r>
      <w:r>
        <w:rPr>
          <w:szCs w:val="28"/>
        </w:rPr>
        <w:t>коэффициент, который изменяется ежегодно в течение переходного периода.</w:t>
      </w:r>
    </w:p>
    <w:p w:rsidR="007132D9" w:rsidRDefault="007132D9" w:rsidP="007132D9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0,2 – применительно к первому налоговому периоду;</w:t>
      </w:r>
    </w:p>
    <w:p w:rsidR="007132D9" w:rsidRDefault="007132D9" w:rsidP="007132D9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0,4 – применительно ко второму налоговому периоду;</w:t>
      </w:r>
    </w:p>
    <w:p w:rsidR="007132D9" w:rsidRDefault="007132D9" w:rsidP="007132D9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0,6 – применительно к третьему налоговому периоду;</w:t>
      </w:r>
    </w:p>
    <w:p w:rsidR="007132D9" w:rsidRDefault="007132D9" w:rsidP="007132D9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0,8 – применительно к четвертому налоговому периоду.</w:t>
      </w:r>
    </w:p>
    <w:p w:rsidR="007132D9" w:rsidRDefault="007132D9" w:rsidP="007132D9">
      <w:pPr>
        <w:tabs>
          <w:tab w:val="left" w:pos="1134"/>
        </w:tabs>
        <w:ind w:firstLine="567"/>
        <w:jc w:val="both"/>
        <w:rPr>
          <w:szCs w:val="28"/>
        </w:rPr>
      </w:pPr>
      <w:proofErr w:type="spellStart"/>
      <w:r>
        <w:rPr>
          <w:bCs/>
          <w:szCs w:val="28"/>
        </w:rPr>
        <w:t>Соб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расчетный</w:t>
      </w:r>
      <w:proofErr w:type="spellEnd"/>
      <w:r>
        <w:rPr>
          <w:szCs w:val="28"/>
        </w:rPr>
        <w:t xml:space="preserve"> уровень собираемости (средний процент за три предыдущих года).</w:t>
      </w:r>
    </w:p>
    <w:p w:rsidR="007132D9" w:rsidRDefault="007132D9" w:rsidP="007132D9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Расчетный уровень собираемости определяется как среднее за 3 предыдущих года значение от деления поступлений (отчет по форме № 1-НМ) на сумму начисленного налога (отчет по форме № 5-МН), умноженное на 100 процентов.</w:t>
      </w:r>
    </w:p>
    <w:p w:rsidR="007132D9" w:rsidRDefault="007132D9" w:rsidP="007132D9">
      <w:pPr>
        <w:tabs>
          <w:tab w:val="left" w:pos="1134"/>
        </w:tabs>
        <w:ind w:firstLine="567"/>
        <w:jc w:val="both"/>
        <w:rPr>
          <w:szCs w:val="28"/>
        </w:rPr>
      </w:pPr>
    </w:p>
    <w:p w:rsidR="007132D9" w:rsidRDefault="007132D9" w:rsidP="007132D9">
      <w:pPr>
        <w:tabs>
          <w:tab w:val="left" w:pos="1134"/>
        </w:tabs>
        <w:ind w:firstLine="567"/>
        <w:jc w:val="center"/>
        <w:rPr>
          <w:szCs w:val="28"/>
        </w:rPr>
      </w:pPr>
      <w:proofErr w:type="spellStart"/>
      <w:r>
        <w:rPr>
          <w:bCs/>
          <w:szCs w:val="28"/>
        </w:rPr>
        <w:t>Нкад</w:t>
      </w:r>
      <w:proofErr w:type="spellEnd"/>
      <w:r>
        <w:rPr>
          <w:bCs/>
          <w:szCs w:val="28"/>
        </w:rPr>
        <w:t xml:space="preserve"> = </w:t>
      </w:r>
      <w:proofErr w:type="spellStart"/>
      <w:r>
        <w:rPr>
          <w:bCs/>
          <w:szCs w:val="28"/>
        </w:rPr>
        <w:t>Кст</w:t>
      </w:r>
      <w:proofErr w:type="spellEnd"/>
      <w:r>
        <w:rPr>
          <w:bCs/>
          <w:szCs w:val="28"/>
        </w:rPr>
        <w:t xml:space="preserve"> х </w:t>
      </w:r>
      <w:r>
        <w:rPr>
          <w:bCs/>
          <w:szCs w:val="28"/>
          <w:lang w:val="en-US"/>
        </w:rPr>
        <w:t>S</w:t>
      </w:r>
      <w:proofErr w:type="spellStart"/>
      <w:r>
        <w:rPr>
          <w:bCs/>
          <w:szCs w:val="28"/>
        </w:rPr>
        <w:t>кад</w:t>
      </w:r>
      <w:proofErr w:type="spellEnd"/>
      <w:r>
        <w:rPr>
          <w:bCs/>
          <w:szCs w:val="28"/>
        </w:rPr>
        <w:t>/100,</w:t>
      </w:r>
    </w:p>
    <w:p w:rsidR="007132D9" w:rsidRDefault="007132D9" w:rsidP="007132D9">
      <w:pPr>
        <w:tabs>
          <w:tab w:val="left" w:pos="1134"/>
        </w:tabs>
        <w:ind w:firstLine="567"/>
        <w:rPr>
          <w:szCs w:val="28"/>
        </w:rPr>
      </w:pPr>
      <w:r>
        <w:rPr>
          <w:szCs w:val="28"/>
        </w:rPr>
        <w:t>где:</w:t>
      </w:r>
    </w:p>
    <w:p w:rsidR="007132D9" w:rsidRDefault="007132D9" w:rsidP="007132D9">
      <w:pPr>
        <w:ind w:firstLine="567"/>
        <w:jc w:val="both"/>
        <w:rPr>
          <w:szCs w:val="28"/>
        </w:rPr>
      </w:pPr>
      <w:proofErr w:type="spellStart"/>
      <w:r>
        <w:rPr>
          <w:bCs/>
          <w:szCs w:val="28"/>
        </w:rPr>
        <w:t>Кст</w:t>
      </w:r>
      <w:proofErr w:type="spellEnd"/>
      <w:r>
        <w:rPr>
          <w:bCs/>
          <w:szCs w:val="28"/>
        </w:rPr>
        <w:t xml:space="preserve"> </w:t>
      </w:r>
      <w:r>
        <w:rPr>
          <w:szCs w:val="28"/>
        </w:rPr>
        <w:t>–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общая кадастровая стоимость строений, помещений и сооружений, по которым предъявлен налог к уплате, уменьшенная на величину налоговых вычетов, предусмотренных пунктами 3–6 статьи 403 Налогового кодекса Российской Федерации, а также установленных нормативными правовыми актами органов местного самоуправления в рамках пункта 7 статьи 403 Налогового кодекса Российской Федерации; </w:t>
      </w:r>
    </w:p>
    <w:p w:rsidR="007132D9" w:rsidRDefault="007132D9" w:rsidP="007132D9">
      <w:pPr>
        <w:tabs>
          <w:tab w:val="left" w:pos="1134"/>
        </w:tabs>
        <w:ind w:firstLine="567"/>
        <w:jc w:val="both"/>
        <w:rPr>
          <w:bCs/>
          <w:szCs w:val="28"/>
        </w:rPr>
      </w:pPr>
      <w:r>
        <w:rPr>
          <w:bCs/>
          <w:szCs w:val="28"/>
          <w:lang w:val="en-US"/>
        </w:rPr>
        <w:t>S</w:t>
      </w:r>
      <w:proofErr w:type="spellStart"/>
      <w:r>
        <w:rPr>
          <w:bCs/>
          <w:szCs w:val="28"/>
        </w:rPr>
        <w:t>кад</w:t>
      </w:r>
      <w:proofErr w:type="spellEnd"/>
      <w:r>
        <w:rPr>
          <w:bCs/>
          <w:szCs w:val="28"/>
        </w:rPr>
        <w:t xml:space="preserve"> – </w:t>
      </w:r>
      <w:proofErr w:type="spellStart"/>
      <w:r>
        <w:rPr>
          <w:bCs/>
          <w:szCs w:val="28"/>
        </w:rPr>
        <w:t>расчетная</w:t>
      </w:r>
      <w:proofErr w:type="spellEnd"/>
      <w:r>
        <w:rPr>
          <w:bCs/>
          <w:szCs w:val="28"/>
        </w:rPr>
        <w:t xml:space="preserve"> средняя ставка по кадастровой стоимости объекта налогообложения за отчетный период.</w:t>
      </w:r>
    </w:p>
    <w:p w:rsidR="007132D9" w:rsidRDefault="007132D9" w:rsidP="007132D9">
      <w:pPr>
        <w:tabs>
          <w:tab w:val="left" w:pos="1134"/>
        </w:tabs>
        <w:ind w:firstLine="567"/>
        <w:jc w:val="both"/>
        <w:rPr>
          <w:szCs w:val="28"/>
        </w:rPr>
      </w:pPr>
    </w:p>
    <w:p w:rsidR="007132D9" w:rsidRDefault="007132D9" w:rsidP="007132D9">
      <w:pPr>
        <w:tabs>
          <w:tab w:val="left" w:pos="1134"/>
        </w:tabs>
        <w:ind w:firstLine="567"/>
        <w:jc w:val="center"/>
        <w:rPr>
          <w:szCs w:val="28"/>
        </w:rPr>
      </w:pPr>
      <w:r>
        <w:rPr>
          <w:bCs/>
          <w:szCs w:val="28"/>
        </w:rPr>
        <w:t>Нин = (</w:t>
      </w:r>
      <w:proofErr w:type="spellStart"/>
      <w:r>
        <w:rPr>
          <w:bCs/>
          <w:szCs w:val="28"/>
        </w:rPr>
        <w:t>Ист</w:t>
      </w:r>
      <w:proofErr w:type="spellEnd"/>
      <w:r>
        <w:rPr>
          <w:bCs/>
          <w:szCs w:val="28"/>
        </w:rPr>
        <w:t xml:space="preserve"> / </w:t>
      </w:r>
      <w:proofErr w:type="spellStart"/>
      <w:r>
        <w:rPr>
          <w:bCs/>
          <w:szCs w:val="28"/>
        </w:rPr>
        <w:t>Кв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  <w:vertAlign w:val="subscript"/>
        </w:rPr>
        <w:t>прош</w:t>
      </w:r>
      <w:proofErr w:type="spellEnd"/>
      <w:r>
        <w:rPr>
          <w:bCs/>
          <w:szCs w:val="28"/>
          <w:vertAlign w:val="subscript"/>
        </w:rPr>
        <w:t xml:space="preserve"> года</w:t>
      </w:r>
      <w:r>
        <w:rPr>
          <w:bCs/>
          <w:szCs w:val="28"/>
        </w:rPr>
        <w:t xml:space="preserve"> х </w:t>
      </w:r>
      <w:proofErr w:type="spellStart"/>
      <w:r>
        <w:rPr>
          <w:bCs/>
          <w:szCs w:val="28"/>
        </w:rPr>
        <w:t>Кв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  <w:vertAlign w:val="subscript"/>
        </w:rPr>
        <w:t>тек</w:t>
      </w:r>
      <w:proofErr w:type="spellEnd"/>
      <w:r>
        <w:rPr>
          <w:bCs/>
          <w:szCs w:val="28"/>
          <w:vertAlign w:val="subscript"/>
        </w:rPr>
        <w:t xml:space="preserve"> года</w:t>
      </w:r>
      <w:r>
        <w:rPr>
          <w:bCs/>
          <w:szCs w:val="28"/>
        </w:rPr>
        <w:t xml:space="preserve">) х </w:t>
      </w:r>
      <w:r>
        <w:rPr>
          <w:bCs/>
          <w:szCs w:val="28"/>
          <w:lang w:val="en-US"/>
        </w:rPr>
        <w:t>S</w:t>
      </w:r>
      <w:r>
        <w:rPr>
          <w:bCs/>
          <w:szCs w:val="28"/>
        </w:rPr>
        <w:t>ин/100,</w:t>
      </w:r>
    </w:p>
    <w:p w:rsidR="007132D9" w:rsidRDefault="007132D9" w:rsidP="007132D9">
      <w:pPr>
        <w:tabs>
          <w:tab w:val="left" w:pos="1134"/>
        </w:tabs>
        <w:ind w:firstLine="567"/>
        <w:rPr>
          <w:szCs w:val="28"/>
        </w:rPr>
      </w:pPr>
      <w:r>
        <w:rPr>
          <w:szCs w:val="28"/>
        </w:rPr>
        <w:t>где:</w:t>
      </w:r>
    </w:p>
    <w:p w:rsidR="007132D9" w:rsidRDefault="007132D9" w:rsidP="007132D9">
      <w:pPr>
        <w:autoSpaceDE w:val="0"/>
        <w:autoSpaceDN w:val="0"/>
        <w:adjustRightInd w:val="0"/>
        <w:ind w:firstLine="567"/>
        <w:jc w:val="both"/>
        <w:rPr>
          <w:szCs w:val="28"/>
        </w:rPr>
      </w:pPr>
      <w:proofErr w:type="spellStart"/>
      <w:r>
        <w:rPr>
          <w:bCs/>
          <w:szCs w:val="28"/>
        </w:rPr>
        <w:t>Ист</w:t>
      </w:r>
      <w:proofErr w:type="spellEnd"/>
      <w:r>
        <w:rPr>
          <w:bCs/>
          <w:szCs w:val="28"/>
        </w:rPr>
        <w:t xml:space="preserve"> </w:t>
      </w:r>
      <w:r>
        <w:rPr>
          <w:szCs w:val="28"/>
        </w:rPr>
        <w:t>–</w:t>
      </w:r>
      <w:r>
        <w:rPr>
          <w:bCs/>
          <w:szCs w:val="28"/>
        </w:rPr>
        <w:t xml:space="preserve"> </w:t>
      </w:r>
      <w:r>
        <w:rPr>
          <w:szCs w:val="28"/>
        </w:rPr>
        <w:t>общая инвентаризационная стоимость строений, помещений и сооружений, с учетом коэффициента-</w:t>
      </w:r>
      <w:proofErr w:type="gramStart"/>
      <w:r>
        <w:rPr>
          <w:szCs w:val="28"/>
        </w:rPr>
        <w:t>дефлятора,  по</w:t>
      </w:r>
      <w:proofErr w:type="gramEnd"/>
      <w:r>
        <w:rPr>
          <w:szCs w:val="28"/>
        </w:rPr>
        <w:t xml:space="preserve"> которым предъявлен налог к уплате (отчет по форме № 5-МН);</w:t>
      </w:r>
    </w:p>
    <w:p w:rsidR="007132D9" w:rsidRDefault="007132D9" w:rsidP="007132D9">
      <w:pPr>
        <w:tabs>
          <w:tab w:val="left" w:pos="1134"/>
        </w:tabs>
        <w:ind w:firstLine="567"/>
        <w:jc w:val="both"/>
        <w:rPr>
          <w:szCs w:val="28"/>
        </w:rPr>
      </w:pPr>
      <w:proofErr w:type="spellStart"/>
      <w:r>
        <w:rPr>
          <w:bCs/>
          <w:szCs w:val="28"/>
        </w:rPr>
        <w:lastRenderedPageBreak/>
        <w:t>Кв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  <w:vertAlign w:val="subscript"/>
        </w:rPr>
        <w:t>прош</w:t>
      </w:r>
      <w:proofErr w:type="spellEnd"/>
      <w:r>
        <w:rPr>
          <w:bCs/>
          <w:szCs w:val="28"/>
          <w:vertAlign w:val="subscript"/>
        </w:rPr>
        <w:t xml:space="preserve"> года</w:t>
      </w:r>
      <w:r>
        <w:rPr>
          <w:szCs w:val="28"/>
        </w:rPr>
        <w:t xml:space="preserve"> – коэффициент-дефлятор по налогу на имущество физических лиц прошлого года (Приказ Министерства экономического развития Российской Федерации «Об установлении коэффициентов-дефляторов»);</w:t>
      </w:r>
    </w:p>
    <w:p w:rsidR="007132D9" w:rsidRDefault="007132D9" w:rsidP="007132D9">
      <w:pPr>
        <w:tabs>
          <w:tab w:val="left" w:pos="1134"/>
        </w:tabs>
        <w:ind w:firstLine="567"/>
        <w:jc w:val="both"/>
        <w:rPr>
          <w:szCs w:val="28"/>
        </w:rPr>
      </w:pPr>
      <w:proofErr w:type="spellStart"/>
      <w:r>
        <w:rPr>
          <w:bCs/>
          <w:szCs w:val="28"/>
        </w:rPr>
        <w:t>Кв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  <w:vertAlign w:val="subscript"/>
        </w:rPr>
        <w:t>тек</w:t>
      </w:r>
      <w:proofErr w:type="spellEnd"/>
      <w:r>
        <w:rPr>
          <w:bCs/>
          <w:szCs w:val="28"/>
          <w:vertAlign w:val="subscript"/>
        </w:rPr>
        <w:t xml:space="preserve"> года</w:t>
      </w:r>
      <w:r>
        <w:rPr>
          <w:szCs w:val="28"/>
        </w:rPr>
        <w:t xml:space="preserve"> – коэффициент-дефлятор по налогу на имущество физических лиц текущего года (Приказ Министерства экономического развития Российской Федерации «Об установлении коэффициентов-дефляторов»);</w:t>
      </w:r>
    </w:p>
    <w:p w:rsidR="007132D9" w:rsidRDefault="007132D9" w:rsidP="007132D9">
      <w:pPr>
        <w:rPr>
          <w:bCs/>
          <w:szCs w:val="28"/>
        </w:rPr>
      </w:pPr>
      <w:r>
        <w:rPr>
          <w:bCs/>
          <w:szCs w:val="28"/>
          <w:lang w:val="en-US"/>
        </w:rPr>
        <w:t>S</w:t>
      </w:r>
      <w:r>
        <w:rPr>
          <w:bCs/>
          <w:szCs w:val="28"/>
        </w:rPr>
        <w:t>ин – расчетная средняя ставка по инвентаризационной стоимости объекта налогообложения за отчетный период.</w:t>
      </w:r>
    </w:p>
    <w:p w:rsidR="007132D9" w:rsidRDefault="007132D9" w:rsidP="007132D9">
      <w:pPr>
        <w:rPr>
          <w:szCs w:val="28"/>
        </w:rPr>
      </w:pPr>
    </w:p>
    <w:p w:rsidR="007132D9" w:rsidRDefault="007132D9" w:rsidP="007132D9">
      <w:pPr>
        <w:ind w:firstLine="851"/>
        <w:jc w:val="both"/>
        <w:rPr>
          <w:szCs w:val="28"/>
        </w:rPr>
      </w:pPr>
      <w:r>
        <w:rPr>
          <w:szCs w:val="28"/>
        </w:rPr>
        <w:t xml:space="preserve">   4. Земельный налог, взимаемый по ставкам, установленным в соответствии с подпунктом 1 пункта 1 статьи 394 Налогового кодекса Российской Федерации, рассчитывается по следующей формуле:</w:t>
      </w:r>
    </w:p>
    <w:p w:rsidR="007132D9" w:rsidRDefault="007132D9" w:rsidP="007132D9">
      <w:pPr>
        <w:ind w:firstLine="851"/>
        <w:jc w:val="both"/>
        <w:rPr>
          <w:szCs w:val="28"/>
        </w:rPr>
      </w:pPr>
    </w:p>
    <w:p w:rsidR="007132D9" w:rsidRDefault="007132D9" w:rsidP="007132D9">
      <w:pPr>
        <w:ind w:firstLine="851"/>
        <w:jc w:val="both"/>
        <w:rPr>
          <w:szCs w:val="28"/>
        </w:rPr>
      </w:pPr>
      <w:r>
        <w:rPr>
          <w:szCs w:val="28"/>
        </w:rPr>
        <w:t>ЗН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 = КС х </w:t>
      </w:r>
      <w:proofErr w:type="gramStart"/>
      <w:r>
        <w:rPr>
          <w:szCs w:val="28"/>
        </w:rPr>
        <w:t>С  где</w:t>
      </w:r>
      <w:proofErr w:type="gramEnd"/>
      <w:r>
        <w:rPr>
          <w:szCs w:val="28"/>
        </w:rPr>
        <w:t>:</w:t>
      </w:r>
    </w:p>
    <w:p w:rsidR="007132D9" w:rsidRDefault="007132D9" w:rsidP="007132D9">
      <w:pPr>
        <w:ind w:firstLine="851"/>
        <w:jc w:val="both"/>
        <w:rPr>
          <w:szCs w:val="28"/>
        </w:rPr>
      </w:pPr>
    </w:p>
    <w:p w:rsidR="007132D9" w:rsidRDefault="007132D9" w:rsidP="007132D9">
      <w:pPr>
        <w:tabs>
          <w:tab w:val="left" w:pos="696"/>
        </w:tabs>
        <w:ind w:firstLine="851"/>
        <w:jc w:val="both"/>
        <w:rPr>
          <w:szCs w:val="28"/>
        </w:rPr>
      </w:pPr>
      <w:r>
        <w:rPr>
          <w:szCs w:val="28"/>
        </w:rPr>
        <w:t>ЗН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 – земельный налог;</w:t>
      </w:r>
    </w:p>
    <w:p w:rsidR="007132D9" w:rsidRDefault="007132D9" w:rsidP="007132D9">
      <w:pPr>
        <w:tabs>
          <w:tab w:val="left" w:pos="696"/>
        </w:tabs>
        <w:ind w:firstLine="851"/>
        <w:jc w:val="both"/>
        <w:rPr>
          <w:szCs w:val="28"/>
        </w:rPr>
      </w:pPr>
      <w:r>
        <w:rPr>
          <w:szCs w:val="28"/>
        </w:rPr>
        <w:t>КС – кадастровая стоимость земельных участков, признаваемых объектом налогообложения, (по данным Управления Федеральной налоговой службы по Оренбургской области по состоянию на 1 января 2016 года);</w:t>
      </w:r>
    </w:p>
    <w:p w:rsidR="007132D9" w:rsidRDefault="007132D9" w:rsidP="007132D9">
      <w:pPr>
        <w:ind w:firstLine="851"/>
        <w:jc w:val="both"/>
        <w:rPr>
          <w:szCs w:val="28"/>
        </w:rPr>
      </w:pPr>
      <w:r>
        <w:rPr>
          <w:szCs w:val="28"/>
        </w:rPr>
        <w:t>С – ставка налога.</w:t>
      </w:r>
    </w:p>
    <w:p w:rsidR="007132D9" w:rsidRDefault="007132D9" w:rsidP="007132D9">
      <w:pPr>
        <w:ind w:firstLine="851"/>
        <w:jc w:val="both"/>
        <w:rPr>
          <w:szCs w:val="28"/>
        </w:rPr>
      </w:pPr>
    </w:p>
    <w:p w:rsidR="007132D9" w:rsidRDefault="007132D9" w:rsidP="007132D9">
      <w:pPr>
        <w:ind w:firstLine="851"/>
        <w:jc w:val="both"/>
        <w:rPr>
          <w:szCs w:val="28"/>
        </w:rPr>
      </w:pPr>
      <w:r>
        <w:rPr>
          <w:szCs w:val="28"/>
        </w:rPr>
        <w:t>Земельный налог, взимаемый по ставкам, установленным в соответствии с подпунктом 2 пункта 1 статьи 394 Налогового кодекса Российской Федерации, рассчитывается по следующей формуле:</w:t>
      </w:r>
    </w:p>
    <w:p w:rsidR="007132D9" w:rsidRDefault="007132D9" w:rsidP="007132D9">
      <w:pPr>
        <w:ind w:firstLine="851"/>
        <w:jc w:val="both"/>
        <w:rPr>
          <w:szCs w:val="28"/>
        </w:rPr>
      </w:pPr>
    </w:p>
    <w:p w:rsidR="007132D9" w:rsidRDefault="007132D9" w:rsidP="007132D9">
      <w:pPr>
        <w:ind w:firstLine="851"/>
        <w:jc w:val="both"/>
        <w:rPr>
          <w:szCs w:val="28"/>
        </w:rPr>
      </w:pPr>
      <w:r>
        <w:rPr>
          <w:szCs w:val="28"/>
        </w:rPr>
        <w:t>ЗН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= КС х С, где:</w:t>
      </w:r>
    </w:p>
    <w:p w:rsidR="007132D9" w:rsidRDefault="007132D9" w:rsidP="007132D9">
      <w:pPr>
        <w:ind w:firstLine="851"/>
        <w:jc w:val="both"/>
        <w:rPr>
          <w:szCs w:val="28"/>
        </w:rPr>
      </w:pPr>
    </w:p>
    <w:p w:rsidR="007132D9" w:rsidRDefault="007132D9" w:rsidP="007132D9">
      <w:pPr>
        <w:tabs>
          <w:tab w:val="left" w:pos="696"/>
        </w:tabs>
        <w:ind w:firstLine="851"/>
        <w:jc w:val="both"/>
        <w:rPr>
          <w:szCs w:val="28"/>
        </w:rPr>
      </w:pPr>
      <w:r>
        <w:rPr>
          <w:szCs w:val="28"/>
        </w:rPr>
        <w:t>ЗН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– земельный налог;</w:t>
      </w:r>
    </w:p>
    <w:p w:rsidR="007132D9" w:rsidRDefault="007132D9" w:rsidP="007132D9">
      <w:pPr>
        <w:ind w:firstLine="851"/>
        <w:jc w:val="both"/>
        <w:rPr>
          <w:szCs w:val="28"/>
        </w:rPr>
      </w:pPr>
      <w:r>
        <w:rPr>
          <w:szCs w:val="28"/>
        </w:rPr>
        <w:t>КС – кадастровая стоимость земельных участков, признаваемых объектом налогообложения, по данным Управления Федеральной налоговой службы по Оренбургской области по состоянию на 1 января 2018 года;</w:t>
      </w:r>
    </w:p>
    <w:p w:rsidR="007132D9" w:rsidRDefault="007132D9" w:rsidP="007132D9">
      <w:pPr>
        <w:ind w:firstLine="851"/>
        <w:jc w:val="both"/>
        <w:rPr>
          <w:szCs w:val="28"/>
        </w:rPr>
      </w:pPr>
      <w:r>
        <w:rPr>
          <w:szCs w:val="28"/>
        </w:rPr>
        <w:t>С – ставка налога.</w:t>
      </w:r>
    </w:p>
    <w:p w:rsidR="007132D9" w:rsidRDefault="007132D9" w:rsidP="007132D9">
      <w:pPr>
        <w:ind w:firstLine="851"/>
        <w:jc w:val="both"/>
        <w:rPr>
          <w:szCs w:val="28"/>
        </w:rPr>
      </w:pPr>
    </w:p>
    <w:p w:rsidR="007132D9" w:rsidRDefault="007132D9" w:rsidP="007132D9">
      <w:pPr>
        <w:jc w:val="both"/>
        <w:rPr>
          <w:szCs w:val="28"/>
        </w:rPr>
      </w:pPr>
      <w:r>
        <w:rPr>
          <w:szCs w:val="28"/>
        </w:rPr>
        <w:t xml:space="preserve">Земельный налог зачисляется </w:t>
      </w:r>
      <w:proofErr w:type="gramStart"/>
      <w:r>
        <w:rPr>
          <w:szCs w:val="28"/>
        </w:rPr>
        <w:t>в  бюджет</w:t>
      </w:r>
      <w:proofErr w:type="gramEnd"/>
      <w:r>
        <w:rPr>
          <w:szCs w:val="28"/>
        </w:rPr>
        <w:t xml:space="preserve"> поселений по нормативу 100 процентов.</w:t>
      </w:r>
    </w:p>
    <w:p w:rsidR="007132D9" w:rsidRDefault="007132D9" w:rsidP="007132D9">
      <w:pPr>
        <w:jc w:val="both"/>
        <w:rPr>
          <w:szCs w:val="28"/>
        </w:rPr>
      </w:pPr>
    </w:p>
    <w:p w:rsidR="007132D9" w:rsidRDefault="007132D9" w:rsidP="007132D9">
      <w:pPr>
        <w:jc w:val="both"/>
        <w:rPr>
          <w:color w:val="FF0000"/>
          <w:szCs w:val="28"/>
        </w:rPr>
      </w:pPr>
      <w:r>
        <w:rPr>
          <w:szCs w:val="28"/>
        </w:rPr>
        <w:t xml:space="preserve">         5. </w:t>
      </w:r>
      <w:r>
        <w:rPr>
          <w:color w:val="FF0000"/>
          <w:szCs w:val="28"/>
        </w:rPr>
        <w:t>Государственная пошлина на 2019 год определена исходя из фактических поступлений за 1 полугодие 2018 года и 2 полугодие 2017 года. Государственная пошлина на 2020 год прогнозируется на уровне 2019 года. Государственная пошлина на 2021 год на уровне 2019 года.</w:t>
      </w:r>
    </w:p>
    <w:p w:rsidR="007132D9" w:rsidRDefault="007132D9" w:rsidP="007132D9">
      <w:pPr>
        <w:rPr>
          <w:szCs w:val="28"/>
        </w:rPr>
      </w:pPr>
    </w:p>
    <w:p w:rsidR="007132D9" w:rsidRDefault="007132D9" w:rsidP="007132D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=Ф1+Ф2, </w:t>
      </w:r>
    </w:p>
    <w:p w:rsidR="007132D9" w:rsidRDefault="007132D9" w:rsidP="007132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Ф1-фактическое поступление за 1 полугодие текущего года,</w:t>
      </w:r>
    </w:p>
    <w:p w:rsidR="007132D9" w:rsidRDefault="007132D9" w:rsidP="007132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Ф2- фактическое поступление за 2 полугодие отчетного года.</w:t>
      </w:r>
    </w:p>
    <w:p w:rsidR="007132D9" w:rsidRDefault="007132D9" w:rsidP="007132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Госпошлина зачисляется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нормативу 100,0 процентов.</w:t>
      </w:r>
    </w:p>
    <w:p w:rsidR="007132D9" w:rsidRDefault="007132D9" w:rsidP="007132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32D9" w:rsidRDefault="007132D9" w:rsidP="007132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Доходы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двигателей  производимых на территории Российской федерации  определены на 2021 год и плановый период 2022 и 2023 годов, исходя  из общего объема прогнозируемых  поступлений в областной бюджет по данному виду дохода, норматива отчислений в бюджеты поселений в размере 10% и индивидуального норматива отчислений в бюджет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 </w:t>
      </w:r>
    </w:p>
    <w:p w:rsidR="007132D9" w:rsidRDefault="007132D9" w:rsidP="007132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32D9" w:rsidRDefault="007132D9" w:rsidP="007132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Арендная плата от сдачи в аренду имущества определяется, согласно действующих договоров аренды имущества на текущий финансовый год с учетом индексации, если это предусмотрено договором аренды муниципального имущества.</w:t>
      </w:r>
    </w:p>
    <w:p w:rsidR="007132D9" w:rsidRDefault="007132D9" w:rsidP="007132D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ОПАИ=Кд*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*12, </w:t>
      </w:r>
    </w:p>
    <w:p w:rsidR="007132D9" w:rsidRDefault="007132D9" w:rsidP="007132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Кд – количество заключенных договоров аренды,</w:t>
      </w:r>
    </w:p>
    <w:p w:rsidR="007132D9" w:rsidRDefault="007132D9" w:rsidP="007132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арендной платы в месяц. </w:t>
      </w:r>
    </w:p>
    <w:p w:rsidR="007132D9" w:rsidRDefault="007132D9" w:rsidP="007132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32D9" w:rsidRDefault="007132D9" w:rsidP="007132D9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Штрафы, санкции, возмещение ущерба за нарушение действующего законодательства на очередной финансовый год планируются исходя из фактических поступлений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за  8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месяцев 2018 года и 4 месяца 2017 года, на плановый период – на уровне очередного финансового года, а также по данным администраторов доходов. Штрафы, санкции и возмещения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ущерба  зачисляются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в  бюджет по нормативу 100,0 процентов.</w:t>
      </w:r>
    </w:p>
    <w:p w:rsidR="007132D9" w:rsidRDefault="007132D9" w:rsidP="007132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32D9" w:rsidRDefault="007132D9" w:rsidP="007132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32D9" w:rsidRDefault="007132D9" w:rsidP="007132D9">
      <w:pPr>
        <w:jc w:val="center"/>
        <w:rPr>
          <w:szCs w:val="28"/>
        </w:rPr>
      </w:pPr>
    </w:p>
    <w:p w:rsidR="007132D9" w:rsidRDefault="007132D9" w:rsidP="007132D9">
      <w:pPr>
        <w:ind w:firstLine="851"/>
        <w:jc w:val="center"/>
      </w:pPr>
      <w:r>
        <w:rPr>
          <w:b/>
          <w:szCs w:val="28"/>
        </w:rPr>
        <w:t xml:space="preserve"> </w:t>
      </w:r>
      <w:r>
        <w:rPr>
          <w:b/>
          <w:bCs/>
          <w:i/>
          <w:iCs/>
          <w:sz w:val="36"/>
          <w:szCs w:val="36"/>
        </w:rPr>
        <w:t>2. Порядок планирования бюджетных ассигнований</w:t>
      </w:r>
    </w:p>
    <w:p w:rsidR="007132D9" w:rsidRDefault="007132D9" w:rsidP="007132D9">
      <w:pPr>
        <w:ind w:firstLine="851"/>
        <w:jc w:val="center"/>
        <w:rPr>
          <w:b/>
          <w:bCs/>
          <w:szCs w:val="28"/>
        </w:rPr>
      </w:pPr>
    </w:p>
    <w:p w:rsidR="007132D9" w:rsidRDefault="007132D9" w:rsidP="007132D9">
      <w:pPr>
        <w:pStyle w:val="a3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Планирование бюджетных ассигнований производится в соответствии с расходными обязательствами </w:t>
      </w:r>
      <w:proofErr w:type="spellStart"/>
      <w:r>
        <w:rPr>
          <w:color w:val="000000"/>
          <w:szCs w:val="28"/>
        </w:rPr>
        <w:t>Болдыревского</w:t>
      </w:r>
      <w:proofErr w:type="spellEnd"/>
      <w:r>
        <w:rPr>
          <w:color w:val="000000"/>
          <w:szCs w:val="28"/>
        </w:rPr>
        <w:t xml:space="preserve"> сельсовета, исполнение которых осуществляется за счет </w:t>
      </w:r>
      <w:proofErr w:type="gramStart"/>
      <w:r>
        <w:rPr>
          <w:color w:val="000000"/>
          <w:szCs w:val="28"/>
        </w:rPr>
        <w:t>средств  бюджета</w:t>
      </w:r>
      <w:proofErr w:type="gramEnd"/>
      <w:r>
        <w:rPr>
          <w:color w:val="000000"/>
          <w:szCs w:val="28"/>
        </w:rPr>
        <w:t xml:space="preserve"> поселения, раздельно по бюджетным ассигнованиям на исполнение действующих и принимаемых расходных обязательств.</w:t>
      </w:r>
    </w:p>
    <w:p w:rsidR="007132D9" w:rsidRDefault="007132D9" w:rsidP="007132D9">
      <w:pPr>
        <w:pStyle w:val="a3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состав бюджетных ассигнований на исполнение действующих расходных </w:t>
      </w:r>
      <w:proofErr w:type="gramStart"/>
      <w:r>
        <w:rPr>
          <w:color w:val="000000"/>
          <w:szCs w:val="28"/>
        </w:rPr>
        <w:t>обязательств  включаются</w:t>
      </w:r>
      <w:proofErr w:type="gramEnd"/>
      <w:r>
        <w:rPr>
          <w:color w:val="000000"/>
          <w:szCs w:val="28"/>
        </w:rPr>
        <w:t xml:space="preserve"> бюджетные ассигнования по перечню расходных обязательств </w:t>
      </w:r>
      <w:proofErr w:type="spellStart"/>
      <w:r>
        <w:rPr>
          <w:color w:val="000000"/>
          <w:szCs w:val="28"/>
        </w:rPr>
        <w:t>Болдыревского</w:t>
      </w:r>
      <w:proofErr w:type="spellEnd"/>
      <w:r>
        <w:rPr>
          <w:color w:val="000000"/>
          <w:szCs w:val="28"/>
        </w:rPr>
        <w:t xml:space="preserve"> сельсовета, обусловленных действующими нормативными правовыми актами, договорами (соглашениями), за исключением норм, действие которых истекает, приостановлено или предлагается (планируется) к приостановлению, признанию утратившими силу в 2020–2023 годах. При этом объем бюджетных ассигнований на исполнение действующих расходных обязательств </w:t>
      </w:r>
      <w:proofErr w:type="spellStart"/>
      <w:r>
        <w:rPr>
          <w:color w:val="000000"/>
          <w:szCs w:val="28"/>
        </w:rPr>
        <w:t>Болдыревского</w:t>
      </w:r>
      <w:proofErr w:type="spellEnd"/>
      <w:r>
        <w:rPr>
          <w:color w:val="000000"/>
          <w:szCs w:val="28"/>
        </w:rPr>
        <w:t xml:space="preserve"> сельсовета может рассчитываться с учетом индексации </w:t>
      </w:r>
      <w:r>
        <w:rPr>
          <w:color w:val="000000"/>
          <w:szCs w:val="28"/>
        </w:rPr>
        <w:lastRenderedPageBreak/>
        <w:t>(изменения), если это предусмотрено данными нормативными правовыми актами, договорами (соглашениями).</w:t>
      </w:r>
    </w:p>
    <w:p w:rsidR="007132D9" w:rsidRDefault="007132D9" w:rsidP="007132D9">
      <w:pPr>
        <w:pStyle w:val="a3"/>
        <w:ind w:firstLine="709"/>
        <w:jc w:val="both"/>
        <w:rPr>
          <w:szCs w:val="28"/>
        </w:rPr>
      </w:pPr>
      <w:bookmarkStart w:id="1" w:name="Par526"/>
      <w:bookmarkEnd w:id="1"/>
      <w:r>
        <w:rPr>
          <w:color w:val="000000"/>
          <w:szCs w:val="28"/>
        </w:rPr>
        <w:t>2. В п</w:t>
      </w:r>
      <w:r>
        <w:rPr>
          <w:szCs w:val="28"/>
        </w:rPr>
        <w:t>редельные объемы бюджетных ассигнований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включены первоочередные расходы на: </w:t>
      </w:r>
    </w:p>
    <w:p w:rsidR="007132D9" w:rsidRDefault="007132D9" w:rsidP="007132D9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оплату труда с начислениями всех категорий работников; </w:t>
      </w:r>
    </w:p>
    <w:p w:rsidR="007132D9" w:rsidRDefault="007132D9" w:rsidP="007132D9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коммунальные услуги; </w:t>
      </w:r>
    </w:p>
    <w:p w:rsidR="007132D9" w:rsidRDefault="007132D9" w:rsidP="007132D9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услуги связи; </w:t>
      </w:r>
    </w:p>
    <w:p w:rsidR="007132D9" w:rsidRDefault="007132D9" w:rsidP="007132D9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транспортные услуги;</w:t>
      </w:r>
    </w:p>
    <w:p w:rsidR="007132D9" w:rsidRDefault="007132D9" w:rsidP="007132D9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увеличение стоимости материальных запасов; </w:t>
      </w:r>
    </w:p>
    <w:p w:rsidR="007132D9" w:rsidRDefault="007132D9" w:rsidP="007132D9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уплату налогов.</w:t>
      </w:r>
    </w:p>
    <w:p w:rsidR="007132D9" w:rsidRDefault="007132D9" w:rsidP="007132D9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>
        <w:rPr>
          <w:szCs w:val="28"/>
        </w:rPr>
        <w:t xml:space="preserve">3.  </w:t>
      </w:r>
      <w:r>
        <w:rPr>
          <w:color w:val="FF0000"/>
          <w:szCs w:val="28"/>
        </w:rPr>
        <w:t xml:space="preserve">Бюджет на 2019 год и на плановый период 2020 и 2021 годов формируется на основе муниципальных программ.  </w:t>
      </w:r>
    </w:p>
    <w:p w:rsidR="007132D9" w:rsidRDefault="007132D9" w:rsidP="007132D9">
      <w:pPr>
        <w:autoSpaceDE w:val="0"/>
        <w:autoSpaceDN w:val="0"/>
        <w:adjustRightInd w:val="0"/>
        <w:ind w:firstLine="567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Объемы бюджетных ассигнований на 2019 год определяются на основе утвержденных решением Совета депутатов муниципального образования  </w:t>
      </w:r>
      <w:proofErr w:type="spellStart"/>
      <w:r>
        <w:rPr>
          <w:color w:val="FF0000"/>
          <w:szCs w:val="28"/>
        </w:rPr>
        <w:t>Болдыревский</w:t>
      </w:r>
      <w:proofErr w:type="spellEnd"/>
      <w:r>
        <w:rPr>
          <w:color w:val="FF0000"/>
          <w:szCs w:val="28"/>
        </w:rPr>
        <w:t xml:space="preserve"> сельсовет  «О   бюджете муниципального образования  </w:t>
      </w:r>
      <w:proofErr w:type="spellStart"/>
      <w:r>
        <w:rPr>
          <w:color w:val="FF0000"/>
          <w:szCs w:val="28"/>
        </w:rPr>
        <w:t>Болдыревский</w:t>
      </w:r>
      <w:proofErr w:type="spellEnd"/>
      <w:r>
        <w:rPr>
          <w:color w:val="FF0000"/>
          <w:szCs w:val="28"/>
        </w:rPr>
        <w:t xml:space="preserve">  сельсовет на 2018 год и плановый период 2019-2020 годов» от 22.12.2016 г № 18/86-рс,  с учетом исключения  расходных обязательств, действие которых завершено в 2018 году и с  учетом реализации мер по  оптимизации  расходов прежде всего, на реализацию приоритетных направлений и проектов, обеспечивающих решение задач, поставленных в послании Президента Российской Федерации Федеральному Собранию Российской Федерации, стратегии развития Оренбургской области и </w:t>
      </w:r>
      <w:proofErr w:type="spellStart"/>
      <w:r>
        <w:rPr>
          <w:color w:val="FF0000"/>
          <w:szCs w:val="28"/>
        </w:rPr>
        <w:t>Ташлинского</w:t>
      </w:r>
      <w:proofErr w:type="spellEnd"/>
      <w:r>
        <w:rPr>
          <w:color w:val="FF0000"/>
          <w:szCs w:val="28"/>
        </w:rPr>
        <w:t xml:space="preserve"> района.</w:t>
      </w:r>
    </w:p>
    <w:p w:rsidR="007132D9" w:rsidRDefault="007132D9" w:rsidP="007132D9">
      <w:pPr>
        <w:ind w:firstLine="851"/>
        <w:jc w:val="both"/>
        <w:rPr>
          <w:color w:val="FF0000"/>
          <w:szCs w:val="28"/>
        </w:rPr>
      </w:pPr>
      <w:r>
        <w:rPr>
          <w:color w:val="FF0000"/>
          <w:szCs w:val="28"/>
        </w:rPr>
        <w:t>Уточнение бюджетных ассигнований на 2019 год и 2020-2021 годы осуществляется с учетом следующих общих подходов:</w:t>
      </w:r>
    </w:p>
    <w:p w:rsidR="007132D9" w:rsidRDefault="007132D9" w:rsidP="007132D9">
      <w:pPr>
        <w:pStyle w:val="a4"/>
        <w:ind w:left="0" w:firstLine="851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1. Начисления на фонд оплаты труда определяются по единым тарифам страховых взносов в системы пенсионного, социального и медицинского страхования на 2018 </w:t>
      </w:r>
      <w:proofErr w:type="gramStart"/>
      <w:r>
        <w:rPr>
          <w:color w:val="FF0000"/>
          <w:sz w:val="28"/>
          <w:szCs w:val="28"/>
        </w:rPr>
        <w:t>год  в</w:t>
      </w:r>
      <w:proofErr w:type="gramEnd"/>
      <w:r>
        <w:rPr>
          <w:color w:val="FF0000"/>
          <w:sz w:val="28"/>
          <w:szCs w:val="28"/>
        </w:rPr>
        <w:t xml:space="preserve"> размере 30,0 %. </w:t>
      </w:r>
    </w:p>
    <w:p w:rsidR="007132D9" w:rsidRDefault="007132D9" w:rsidP="007132D9">
      <w:pPr>
        <w:ind w:firstLine="851"/>
        <w:jc w:val="both"/>
        <w:rPr>
          <w:color w:val="FF0000"/>
          <w:szCs w:val="28"/>
        </w:rPr>
      </w:pPr>
      <w:r>
        <w:rPr>
          <w:color w:val="FF0000"/>
          <w:szCs w:val="28"/>
        </w:rPr>
        <w:t>3. На весь период формирования проекта бюджета сохраняются расходы по взносам на обязательное социальное страхование от несчастных случаев в размере 0,2 процента от фонда оплаты труда;</w:t>
      </w:r>
    </w:p>
    <w:p w:rsidR="007132D9" w:rsidRDefault="007132D9" w:rsidP="007132D9">
      <w:pPr>
        <w:ind w:firstLine="851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4. Расходы на коммунальные услуги планируются исходя из фактических расходов в 2018 </w:t>
      </w:r>
      <w:proofErr w:type="gramStart"/>
      <w:r>
        <w:rPr>
          <w:color w:val="FF0000"/>
          <w:szCs w:val="28"/>
        </w:rPr>
        <w:t>году  с</w:t>
      </w:r>
      <w:proofErr w:type="gramEnd"/>
      <w:r>
        <w:rPr>
          <w:color w:val="FF0000"/>
          <w:szCs w:val="28"/>
        </w:rPr>
        <w:t xml:space="preserve"> увеличением стоимости электроэнергии в 2019 году на 4,8%, в 2020 году на 8,2%   и  на 3,8 % в 2021 году, газа- на 3,7% в 2019 году, на 3,3% в 2020-2021 годах, тепловую энергию в 2019 году 3,8%, на 4,0 % в 2020-2021 годах, связи в 2019 году на 2,0%, в 2020-2021 годов на 1,4%. </w:t>
      </w:r>
    </w:p>
    <w:p w:rsidR="007132D9" w:rsidRDefault="007132D9" w:rsidP="007132D9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 xml:space="preserve">   5.    Расходы на реализацию мероприятий, включенных в муниципальные программы </w:t>
      </w:r>
      <w:proofErr w:type="spellStart"/>
      <w:r>
        <w:rPr>
          <w:szCs w:val="28"/>
        </w:rPr>
        <w:t>Болдыревского</w:t>
      </w:r>
      <w:proofErr w:type="spellEnd"/>
      <w:r>
        <w:rPr>
          <w:szCs w:val="28"/>
        </w:rPr>
        <w:t xml:space="preserve"> сельсовета</w:t>
      </w:r>
      <w:r>
        <w:rPr>
          <w:bCs/>
          <w:szCs w:val="28"/>
        </w:rPr>
        <w:t xml:space="preserve">, определяются с учетом предельных объемов бюджетных ассигнований, доведенных до главных </w:t>
      </w:r>
      <w:proofErr w:type="gramStart"/>
      <w:r>
        <w:rPr>
          <w:bCs/>
          <w:szCs w:val="28"/>
        </w:rPr>
        <w:t>распорядителей  бюджетных</w:t>
      </w:r>
      <w:proofErr w:type="gramEnd"/>
      <w:r>
        <w:rPr>
          <w:bCs/>
          <w:szCs w:val="28"/>
        </w:rPr>
        <w:t xml:space="preserve"> средств (ответственным исполнителям, соисполнителям, участникам муниципальных программ), и необходимостью достижения  установленных в муниципальных программах целевых показателей. </w:t>
      </w:r>
    </w:p>
    <w:p w:rsidR="007132D9" w:rsidRDefault="007132D9" w:rsidP="007132D9">
      <w:pPr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>
        <w:rPr>
          <w:szCs w:val="28"/>
        </w:rPr>
        <w:lastRenderedPageBreak/>
        <w:t>Объемы бюджетных ассигнований на реализацию мероприятий муниципальных программ планируются с учетом предполагаемых изменений в муниципальные программы, направленных на достижение значений инди</w:t>
      </w:r>
      <w:r>
        <w:rPr>
          <w:szCs w:val="28"/>
        </w:rPr>
        <w:softHyphen/>
        <w:t>кативных показателей.</w:t>
      </w:r>
    </w:p>
    <w:p w:rsidR="007132D9" w:rsidRDefault="007132D9" w:rsidP="007132D9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Непрограммные расходы в бюджете на 2019 год и </w:t>
      </w:r>
      <w:proofErr w:type="spellStart"/>
      <w:r>
        <w:rPr>
          <w:szCs w:val="28"/>
        </w:rPr>
        <w:t>плановй</w:t>
      </w:r>
      <w:proofErr w:type="spellEnd"/>
      <w:r>
        <w:rPr>
          <w:szCs w:val="28"/>
        </w:rPr>
        <w:t xml:space="preserve"> период 2020-2021 гг. не планируются. </w:t>
      </w:r>
    </w:p>
    <w:p w:rsidR="007132D9" w:rsidRDefault="007132D9" w:rsidP="007132D9">
      <w:pPr>
        <w:ind w:firstLine="851"/>
        <w:jc w:val="both"/>
        <w:rPr>
          <w:szCs w:val="28"/>
        </w:rPr>
      </w:pPr>
      <w:r>
        <w:rPr>
          <w:szCs w:val="28"/>
        </w:rPr>
        <w:t xml:space="preserve">6. Межбюджетные трансферты включаются в разделы классификации расходов </w:t>
      </w:r>
      <w:proofErr w:type="gramStart"/>
      <w:r>
        <w:rPr>
          <w:szCs w:val="28"/>
        </w:rPr>
        <w:t>бюджета  поселения</w:t>
      </w:r>
      <w:proofErr w:type="gramEnd"/>
      <w:r>
        <w:rPr>
          <w:szCs w:val="28"/>
        </w:rPr>
        <w:t xml:space="preserve"> в соответствии с их отраслевой принадлежностью.</w:t>
      </w:r>
    </w:p>
    <w:p w:rsidR="007132D9" w:rsidRDefault="007132D9" w:rsidP="007132D9">
      <w:pPr>
        <w:ind w:firstLine="851"/>
        <w:jc w:val="both"/>
        <w:rPr>
          <w:szCs w:val="28"/>
        </w:rPr>
      </w:pPr>
    </w:p>
    <w:p w:rsidR="007132D9" w:rsidRDefault="007132D9" w:rsidP="007132D9">
      <w:pPr>
        <w:ind w:firstLine="851"/>
        <w:jc w:val="center"/>
        <w:rPr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Отраслевые особенности формирования бюджета поселения</w:t>
      </w:r>
      <w:r>
        <w:rPr>
          <w:i/>
          <w:iCs/>
          <w:sz w:val="32"/>
          <w:szCs w:val="32"/>
        </w:rPr>
        <w:t>.</w:t>
      </w:r>
    </w:p>
    <w:p w:rsidR="007132D9" w:rsidRDefault="007132D9" w:rsidP="007132D9">
      <w:pPr>
        <w:ind w:firstLine="851"/>
        <w:jc w:val="both"/>
        <w:rPr>
          <w:b/>
          <w:bCs/>
          <w:sz w:val="32"/>
          <w:szCs w:val="32"/>
        </w:rPr>
      </w:pPr>
    </w:p>
    <w:p w:rsidR="007132D9" w:rsidRDefault="007132D9" w:rsidP="007132D9">
      <w:pPr>
        <w:ind w:firstLine="851"/>
        <w:jc w:val="center"/>
        <w:rPr>
          <w:b/>
          <w:bCs/>
          <w:szCs w:val="28"/>
        </w:rPr>
      </w:pPr>
      <w:r>
        <w:rPr>
          <w:b/>
          <w:bCs/>
          <w:szCs w:val="28"/>
        </w:rPr>
        <w:t>1.Общегосударственные расходы</w:t>
      </w:r>
    </w:p>
    <w:p w:rsidR="007132D9" w:rsidRDefault="007132D9" w:rsidP="007132D9">
      <w:pPr>
        <w:ind w:firstLine="567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При определении объема </w:t>
      </w:r>
      <w:proofErr w:type="gramStart"/>
      <w:r>
        <w:rPr>
          <w:color w:val="FF0000"/>
          <w:szCs w:val="28"/>
        </w:rPr>
        <w:t>расходов  бюджета</w:t>
      </w:r>
      <w:proofErr w:type="gramEnd"/>
      <w:r>
        <w:rPr>
          <w:color w:val="FF0000"/>
          <w:szCs w:val="28"/>
        </w:rPr>
        <w:t xml:space="preserve"> МО </w:t>
      </w:r>
      <w:proofErr w:type="spellStart"/>
      <w:r>
        <w:rPr>
          <w:color w:val="FF0000"/>
          <w:szCs w:val="28"/>
        </w:rPr>
        <w:t>Болдыревский</w:t>
      </w:r>
      <w:proofErr w:type="spellEnd"/>
      <w:r>
        <w:rPr>
          <w:color w:val="FF0000"/>
          <w:szCs w:val="28"/>
        </w:rPr>
        <w:t xml:space="preserve"> сельсовет на содержание аппарата управления учитываются расходы на оплату труда  органов местного самоуправления, рассчитанные исходя из  штатной численности  работников органов местного самоуправления и условий оплаты труда, установленных решением Совета депутатов муниципального образования </w:t>
      </w:r>
      <w:proofErr w:type="spellStart"/>
      <w:r>
        <w:rPr>
          <w:color w:val="FF0000"/>
          <w:szCs w:val="28"/>
        </w:rPr>
        <w:t>Болдыревский</w:t>
      </w:r>
      <w:proofErr w:type="spellEnd"/>
      <w:r>
        <w:rPr>
          <w:color w:val="FF0000"/>
          <w:szCs w:val="28"/>
        </w:rPr>
        <w:t xml:space="preserve"> сельсовет от </w:t>
      </w:r>
      <w:r w:rsidR="00466BCD">
        <w:rPr>
          <w:color w:val="FF0000"/>
          <w:szCs w:val="28"/>
        </w:rPr>
        <w:t>17.01.2020 г.  № 41/144</w:t>
      </w:r>
      <w:r>
        <w:rPr>
          <w:color w:val="FF0000"/>
          <w:szCs w:val="28"/>
        </w:rPr>
        <w:t xml:space="preserve">-рс «О денежном </w:t>
      </w:r>
      <w:proofErr w:type="gramStart"/>
      <w:r>
        <w:rPr>
          <w:color w:val="FF0000"/>
          <w:szCs w:val="28"/>
        </w:rPr>
        <w:t>содержании  муниципальных</w:t>
      </w:r>
      <w:proofErr w:type="gramEnd"/>
      <w:r>
        <w:rPr>
          <w:color w:val="FF0000"/>
          <w:szCs w:val="28"/>
        </w:rPr>
        <w:t xml:space="preserve"> служащих муниципального образования </w:t>
      </w:r>
      <w:proofErr w:type="spellStart"/>
      <w:r>
        <w:rPr>
          <w:color w:val="FF0000"/>
          <w:szCs w:val="28"/>
        </w:rPr>
        <w:t>Болдыревский</w:t>
      </w:r>
      <w:proofErr w:type="spellEnd"/>
      <w:r>
        <w:rPr>
          <w:color w:val="FF0000"/>
          <w:szCs w:val="28"/>
        </w:rPr>
        <w:t xml:space="preserve"> сельсовет </w:t>
      </w:r>
      <w:proofErr w:type="spellStart"/>
      <w:r>
        <w:rPr>
          <w:color w:val="FF0000"/>
          <w:szCs w:val="28"/>
        </w:rPr>
        <w:t>Ташлинского</w:t>
      </w:r>
      <w:proofErr w:type="spellEnd"/>
      <w:r>
        <w:rPr>
          <w:color w:val="FF0000"/>
          <w:szCs w:val="28"/>
        </w:rPr>
        <w:t xml:space="preserve"> района Оренбургской области», от 31.10.2016 г № 8/51-рс «Об утверждении Положения об оплате труда главы муниципального образования </w:t>
      </w:r>
      <w:proofErr w:type="spellStart"/>
      <w:r>
        <w:rPr>
          <w:color w:val="FF0000"/>
          <w:szCs w:val="28"/>
        </w:rPr>
        <w:t>Болдыревский</w:t>
      </w:r>
      <w:proofErr w:type="spellEnd"/>
      <w:r>
        <w:rPr>
          <w:color w:val="FF0000"/>
          <w:szCs w:val="28"/>
        </w:rPr>
        <w:t xml:space="preserve"> сельсовет </w:t>
      </w:r>
      <w:proofErr w:type="spellStart"/>
      <w:r>
        <w:rPr>
          <w:color w:val="FF0000"/>
          <w:szCs w:val="28"/>
        </w:rPr>
        <w:t>Ташлинского</w:t>
      </w:r>
      <w:proofErr w:type="spellEnd"/>
      <w:r>
        <w:rPr>
          <w:color w:val="FF0000"/>
          <w:szCs w:val="28"/>
        </w:rPr>
        <w:t xml:space="preserve"> района Оренбургской области».</w:t>
      </w:r>
    </w:p>
    <w:p w:rsidR="007132D9" w:rsidRDefault="007132D9" w:rsidP="007132D9">
      <w:pPr>
        <w:ind w:firstLine="567"/>
        <w:jc w:val="both"/>
        <w:rPr>
          <w:color w:val="FF0000"/>
          <w:szCs w:val="28"/>
          <w:shd w:val="clear" w:color="auto" w:fill="FFFFFF"/>
        </w:rPr>
      </w:pPr>
      <w:r>
        <w:rPr>
          <w:color w:val="FF0000"/>
          <w:szCs w:val="28"/>
          <w:shd w:val="clear" w:color="auto" w:fill="FFFFFF"/>
        </w:rPr>
        <w:t xml:space="preserve">Материальные затраты на содержание </w:t>
      </w:r>
      <w:r>
        <w:rPr>
          <w:color w:val="FF0000"/>
          <w:szCs w:val="28"/>
        </w:rPr>
        <w:t xml:space="preserve">муниципальных служащих </w:t>
      </w:r>
      <w:r>
        <w:rPr>
          <w:color w:val="FF0000"/>
          <w:szCs w:val="28"/>
          <w:shd w:val="clear" w:color="auto" w:fill="FFFFFF"/>
        </w:rPr>
        <w:t xml:space="preserve">определены по общим подходам к формированию объемов бюджетного финансирования </w:t>
      </w:r>
      <w:proofErr w:type="gramStart"/>
      <w:r>
        <w:rPr>
          <w:color w:val="FF0000"/>
          <w:szCs w:val="28"/>
          <w:shd w:val="clear" w:color="auto" w:fill="FFFFFF"/>
        </w:rPr>
        <w:t>муниципальных  бюджетных</w:t>
      </w:r>
      <w:proofErr w:type="gramEnd"/>
      <w:r>
        <w:rPr>
          <w:color w:val="FF0000"/>
          <w:szCs w:val="28"/>
          <w:shd w:val="clear" w:color="auto" w:fill="FFFFFF"/>
        </w:rPr>
        <w:t xml:space="preserve"> учреждений. </w:t>
      </w:r>
    </w:p>
    <w:p w:rsidR="007132D9" w:rsidRDefault="007132D9" w:rsidP="007132D9">
      <w:pPr>
        <w:ind w:firstLine="567"/>
        <w:jc w:val="both"/>
        <w:rPr>
          <w:color w:val="FF0000"/>
          <w:szCs w:val="28"/>
          <w:shd w:val="clear" w:color="auto" w:fill="FFFFFF"/>
        </w:rPr>
      </w:pPr>
      <w:r>
        <w:rPr>
          <w:color w:val="FF0000"/>
          <w:szCs w:val="28"/>
          <w:shd w:val="clear" w:color="auto" w:fill="FFFFFF"/>
        </w:rPr>
        <w:t xml:space="preserve">В общегосударственные расходы планируются трансферты бюджету муниципального района на исполнение полномочий по осуществлению внешнего и внутреннего муниципального финансового контроля. Объем трансфертов распределяется на один рубль собственных доходов за исключением субвенций в объеме 0,004102 на 2019 </w:t>
      </w:r>
      <w:proofErr w:type="gramStart"/>
      <w:r>
        <w:rPr>
          <w:color w:val="FF0000"/>
          <w:szCs w:val="28"/>
          <w:shd w:val="clear" w:color="auto" w:fill="FFFFFF"/>
        </w:rPr>
        <w:t>год,  на</w:t>
      </w:r>
      <w:proofErr w:type="gramEnd"/>
      <w:r>
        <w:rPr>
          <w:color w:val="FF0000"/>
          <w:szCs w:val="28"/>
          <w:shd w:val="clear" w:color="auto" w:fill="FFFFFF"/>
        </w:rPr>
        <w:t xml:space="preserve"> плановый период 2020-2021 годов  в объеме 0,004102.  Результаты округляются до целой единицы. Объем </w:t>
      </w:r>
      <w:proofErr w:type="gramStart"/>
      <w:r>
        <w:rPr>
          <w:color w:val="FF0000"/>
          <w:szCs w:val="28"/>
          <w:shd w:val="clear" w:color="auto" w:fill="FFFFFF"/>
        </w:rPr>
        <w:t>полномочий  по</w:t>
      </w:r>
      <w:proofErr w:type="gramEnd"/>
      <w:r>
        <w:rPr>
          <w:color w:val="FF0000"/>
          <w:szCs w:val="28"/>
          <w:shd w:val="clear" w:color="auto" w:fill="FFFFFF"/>
        </w:rPr>
        <w:t xml:space="preserve"> внешнему муниципальному финансовому контролю  предусматривается  на 2019-2021 год в размере 14,7 </w:t>
      </w:r>
      <w:proofErr w:type="spellStart"/>
      <w:r>
        <w:rPr>
          <w:color w:val="FF0000"/>
          <w:szCs w:val="28"/>
          <w:shd w:val="clear" w:color="auto" w:fill="FFFFFF"/>
        </w:rPr>
        <w:t>тыс.руб</w:t>
      </w:r>
      <w:proofErr w:type="spellEnd"/>
      <w:r>
        <w:rPr>
          <w:color w:val="FF0000"/>
          <w:szCs w:val="28"/>
          <w:shd w:val="clear" w:color="auto" w:fill="FFFFFF"/>
        </w:rPr>
        <w:t xml:space="preserve">. ежегодно. Объем </w:t>
      </w:r>
      <w:proofErr w:type="gramStart"/>
      <w:r>
        <w:rPr>
          <w:color w:val="FF0000"/>
          <w:szCs w:val="28"/>
          <w:shd w:val="clear" w:color="auto" w:fill="FFFFFF"/>
        </w:rPr>
        <w:t>полномочий  по</w:t>
      </w:r>
      <w:proofErr w:type="gramEnd"/>
      <w:r>
        <w:rPr>
          <w:color w:val="FF0000"/>
          <w:szCs w:val="28"/>
          <w:shd w:val="clear" w:color="auto" w:fill="FFFFFF"/>
        </w:rPr>
        <w:t xml:space="preserve"> внутреннему муниципальному финансовому контролю  предусматривается  на 2019-2021 год в размере 15,0 </w:t>
      </w:r>
      <w:proofErr w:type="spellStart"/>
      <w:r>
        <w:rPr>
          <w:color w:val="FF0000"/>
          <w:szCs w:val="28"/>
          <w:shd w:val="clear" w:color="auto" w:fill="FFFFFF"/>
        </w:rPr>
        <w:t>тыс.руб</w:t>
      </w:r>
      <w:proofErr w:type="spellEnd"/>
      <w:r>
        <w:rPr>
          <w:color w:val="FF0000"/>
          <w:szCs w:val="28"/>
          <w:shd w:val="clear" w:color="auto" w:fill="FFFFFF"/>
        </w:rPr>
        <w:t>. ежегодно.</w:t>
      </w:r>
    </w:p>
    <w:p w:rsidR="007132D9" w:rsidRDefault="007132D9" w:rsidP="007132D9">
      <w:pPr>
        <w:ind w:firstLine="567"/>
        <w:jc w:val="both"/>
        <w:rPr>
          <w:szCs w:val="28"/>
          <w:shd w:val="clear" w:color="auto" w:fill="FFFFFF"/>
        </w:rPr>
      </w:pPr>
    </w:p>
    <w:p w:rsidR="007132D9" w:rsidRDefault="007132D9" w:rsidP="007132D9">
      <w:pPr>
        <w:jc w:val="both"/>
        <w:rPr>
          <w:szCs w:val="28"/>
          <w:shd w:val="clear" w:color="auto" w:fill="FFFFFF"/>
        </w:rPr>
      </w:pPr>
    </w:p>
    <w:p w:rsidR="007132D9" w:rsidRDefault="007132D9" w:rsidP="007132D9">
      <w:pPr>
        <w:jc w:val="both"/>
        <w:rPr>
          <w:szCs w:val="28"/>
          <w:shd w:val="clear" w:color="auto" w:fill="FFFFFF"/>
        </w:rPr>
      </w:pPr>
    </w:p>
    <w:p w:rsidR="007132D9" w:rsidRDefault="007132D9" w:rsidP="007132D9">
      <w:pPr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</w:t>
      </w:r>
    </w:p>
    <w:p w:rsidR="007132D9" w:rsidRDefault="007132D9" w:rsidP="007132D9">
      <w:pPr>
        <w:ind w:firstLine="851"/>
        <w:jc w:val="center"/>
        <w:rPr>
          <w:b/>
          <w:bCs/>
          <w:szCs w:val="28"/>
        </w:rPr>
      </w:pPr>
    </w:p>
    <w:p w:rsidR="007132D9" w:rsidRDefault="007132D9" w:rsidP="007132D9">
      <w:pPr>
        <w:ind w:firstLine="851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2.  Муниципальный долг</w:t>
      </w:r>
    </w:p>
    <w:p w:rsidR="007132D9" w:rsidRDefault="00E87318" w:rsidP="007132D9">
      <w:pPr>
        <w:ind w:firstLine="851"/>
        <w:jc w:val="both"/>
        <w:rPr>
          <w:b/>
          <w:bCs/>
          <w:szCs w:val="28"/>
        </w:rPr>
      </w:pPr>
      <w:r>
        <w:rPr>
          <w:szCs w:val="28"/>
        </w:rPr>
        <w:t>В бюджете поселения на 2023 год и плановый период 2024 и 2025</w:t>
      </w:r>
      <w:r w:rsidR="007132D9">
        <w:rPr>
          <w:szCs w:val="28"/>
        </w:rPr>
        <w:t xml:space="preserve"> годов предусмотрены следующие показатели муниципального долга поселения</w:t>
      </w:r>
    </w:p>
    <w:p w:rsidR="007132D9" w:rsidRDefault="007132D9" w:rsidP="007132D9">
      <w:pPr>
        <w:ind w:firstLine="851"/>
        <w:jc w:val="both"/>
        <w:rPr>
          <w:szCs w:val="28"/>
        </w:rPr>
      </w:pPr>
    </w:p>
    <w:p w:rsidR="007132D9" w:rsidRDefault="007132D9" w:rsidP="007132D9">
      <w:pPr>
        <w:jc w:val="both"/>
        <w:rPr>
          <w:b/>
          <w:bCs/>
          <w:sz w:val="32"/>
          <w:szCs w:val="32"/>
        </w:rPr>
      </w:pPr>
      <w:r>
        <w:rPr>
          <w:b/>
          <w:bCs/>
          <w:i/>
          <w:iCs/>
          <w:szCs w:val="28"/>
        </w:rPr>
        <w:t xml:space="preserve">Верхний предел муниципального внутреннего долга муниципального образования </w:t>
      </w:r>
      <w:proofErr w:type="spellStart"/>
      <w:r>
        <w:rPr>
          <w:b/>
          <w:bCs/>
          <w:i/>
          <w:iCs/>
          <w:szCs w:val="28"/>
        </w:rPr>
        <w:t>Болдыревский</w:t>
      </w:r>
      <w:proofErr w:type="spellEnd"/>
      <w:r>
        <w:rPr>
          <w:b/>
          <w:bCs/>
          <w:i/>
          <w:iCs/>
          <w:szCs w:val="28"/>
        </w:rPr>
        <w:t xml:space="preserve"> сельсовет.</w:t>
      </w:r>
    </w:p>
    <w:p w:rsidR="007132D9" w:rsidRDefault="007132D9" w:rsidP="007132D9">
      <w:pPr>
        <w:ind w:firstLine="851"/>
        <w:jc w:val="both"/>
        <w:rPr>
          <w:b/>
          <w:bCs/>
          <w:sz w:val="32"/>
          <w:szCs w:val="32"/>
        </w:rPr>
      </w:pPr>
    </w:p>
    <w:p w:rsidR="007132D9" w:rsidRDefault="007132D9" w:rsidP="007132D9">
      <w:pPr>
        <w:ind w:firstLine="85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3"/>
        <w:gridCol w:w="1106"/>
        <w:gridCol w:w="860"/>
        <w:gridCol w:w="776"/>
      </w:tblGrid>
      <w:tr w:rsidR="007132D9" w:rsidTr="007132D9"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D9" w:rsidRDefault="007132D9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202</w:t>
            </w:r>
            <w:r w:rsidR="00E87318">
              <w:rPr>
                <w:bCs/>
                <w:szCs w:val="28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E87318">
            <w:r>
              <w:t>2024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E87318">
            <w:r>
              <w:t>2025</w:t>
            </w:r>
          </w:p>
        </w:tc>
      </w:tr>
      <w:tr w:rsidR="007132D9" w:rsidTr="007132D9"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Предельный объем муниципального долга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r>
              <w:t>0</w:t>
            </w:r>
          </w:p>
        </w:tc>
      </w:tr>
      <w:tr w:rsidR="007132D9" w:rsidTr="007132D9"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Предельный объем муниципальных гарантий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r>
              <w:t>0</w:t>
            </w:r>
          </w:p>
        </w:tc>
      </w:tr>
      <w:tr w:rsidR="007132D9" w:rsidTr="007132D9"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Кредиты  кредитных</w:t>
            </w:r>
            <w:proofErr w:type="gramEnd"/>
            <w:r>
              <w:rPr>
                <w:szCs w:val="28"/>
              </w:rPr>
              <w:t xml:space="preserve"> организаций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r>
              <w:t>0</w:t>
            </w:r>
          </w:p>
        </w:tc>
      </w:tr>
      <w:tr w:rsidR="007132D9" w:rsidTr="007132D9"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Предельный объем расходов на обслуживание долга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D9" w:rsidRDefault="007132D9">
            <w:r>
              <w:t>0</w:t>
            </w:r>
          </w:p>
        </w:tc>
      </w:tr>
    </w:tbl>
    <w:p w:rsidR="007132D9" w:rsidRDefault="007132D9" w:rsidP="007132D9">
      <w:pPr>
        <w:ind w:firstLine="851"/>
        <w:rPr>
          <w:b/>
          <w:bCs/>
          <w:szCs w:val="28"/>
        </w:rPr>
      </w:pPr>
    </w:p>
    <w:p w:rsidR="007132D9" w:rsidRDefault="007132D9" w:rsidP="007132D9">
      <w:pPr>
        <w:ind w:firstLine="851"/>
        <w:rPr>
          <w:b/>
          <w:bCs/>
          <w:szCs w:val="28"/>
        </w:rPr>
      </w:pPr>
      <w:r>
        <w:rPr>
          <w:b/>
          <w:bCs/>
          <w:szCs w:val="28"/>
        </w:rPr>
        <w:t>3. Национальная оборона, национальная безопасность и</w:t>
      </w:r>
    </w:p>
    <w:p w:rsidR="007132D9" w:rsidRDefault="007132D9" w:rsidP="007132D9">
      <w:pPr>
        <w:ind w:firstLine="851"/>
        <w:rPr>
          <w:b/>
          <w:bCs/>
          <w:szCs w:val="28"/>
        </w:rPr>
      </w:pPr>
      <w:r>
        <w:rPr>
          <w:b/>
          <w:bCs/>
          <w:szCs w:val="28"/>
        </w:rPr>
        <w:t>правоохранительная деятельность</w:t>
      </w:r>
    </w:p>
    <w:p w:rsidR="007132D9" w:rsidRDefault="007132D9" w:rsidP="007132D9">
      <w:pPr>
        <w:pStyle w:val="ConsPlusNormal"/>
        <w:shd w:val="clear" w:color="auto" w:fill="FFFFFF"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132D9" w:rsidRDefault="007132D9" w:rsidP="007132D9">
      <w:pPr>
        <w:shd w:val="clear" w:color="auto" w:fill="FFFFFF"/>
        <w:jc w:val="both"/>
        <w:rPr>
          <w:color w:val="FF0000"/>
          <w:szCs w:val="28"/>
        </w:rPr>
      </w:pPr>
      <w:r>
        <w:rPr>
          <w:szCs w:val="28"/>
        </w:rPr>
        <w:t xml:space="preserve">        В бюджете поселения запланированы расходы на осуществление </w:t>
      </w:r>
      <w:r>
        <w:rPr>
          <w:color w:val="FF0000"/>
          <w:szCs w:val="28"/>
        </w:rPr>
        <w:t xml:space="preserve">первичного воинского учета на территориях, где отсутствуют военные комиссариаты, за счет поступления субвенций </w:t>
      </w:r>
      <w:r>
        <w:rPr>
          <w:color w:val="FF0000"/>
          <w:szCs w:val="28"/>
          <w:shd w:val="clear" w:color="auto" w:fill="FFFFFF"/>
        </w:rPr>
        <w:t xml:space="preserve">на 2019 год в размере 83,0 </w:t>
      </w:r>
      <w:proofErr w:type="spellStart"/>
      <w:r>
        <w:rPr>
          <w:color w:val="FF0000"/>
          <w:szCs w:val="28"/>
          <w:shd w:val="clear" w:color="auto" w:fill="FFFFFF"/>
        </w:rPr>
        <w:t>тыс.руб</w:t>
      </w:r>
      <w:proofErr w:type="spellEnd"/>
      <w:r>
        <w:rPr>
          <w:color w:val="FF0000"/>
          <w:szCs w:val="28"/>
          <w:shd w:val="clear" w:color="auto" w:fill="FFFFFF"/>
        </w:rPr>
        <w:t xml:space="preserve">., на 2020 год в размере 83,0 </w:t>
      </w:r>
      <w:proofErr w:type="spellStart"/>
      <w:r>
        <w:rPr>
          <w:color w:val="FF0000"/>
          <w:szCs w:val="28"/>
          <w:shd w:val="clear" w:color="auto" w:fill="FFFFFF"/>
        </w:rPr>
        <w:t>тыс.руб</w:t>
      </w:r>
      <w:proofErr w:type="spellEnd"/>
      <w:r>
        <w:rPr>
          <w:color w:val="FF0000"/>
          <w:szCs w:val="28"/>
          <w:shd w:val="clear" w:color="auto" w:fill="FFFFFF"/>
        </w:rPr>
        <w:t xml:space="preserve">., на 2021 год 83,0 </w:t>
      </w:r>
      <w:proofErr w:type="spellStart"/>
      <w:r>
        <w:rPr>
          <w:color w:val="FF0000"/>
          <w:szCs w:val="28"/>
          <w:shd w:val="clear" w:color="auto" w:fill="FFFFFF"/>
        </w:rPr>
        <w:t>тыс.руб</w:t>
      </w:r>
      <w:proofErr w:type="spellEnd"/>
      <w:r>
        <w:rPr>
          <w:color w:val="FF0000"/>
          <w:szCs w:val="28"/>
          <w:shd w:val="clear" w:color="auto" w:fill="FFFFFF"/>
        </w:rPr>
        <w:t>. соответственно</w:t>
      </w:r>
      <w:r>
        <w:rPr>
          <w:color w:val="FF0000"/>
          <w:szCs w:val="28"/>
        </w:rPr>
        <w:t>.</w:t>
      </w:r>
    </w:p>
    <w:p w:rsidR="007132D9" w:rsidRDefault="007132D9" w:rsidP="007132D9">
      <w:pPr>
        <w:shd w:val="clear" w:color="auto" w:fill="FFFFFF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            </w:t>
      </w:r>
      <w:proofErr w:type="gramStart"/>
      <w:r>
        <w:rPr>
          <w:color w:val="FF0000"/>
          <w:szCs w:val="28"/>
        </w:rPr>
        <w:t>В  бюджете</w:t>
      </w:r>
      <w:proofErr w:type="gramEnd"/>
      <w:r>
        <w:rPr>
          <w:color w:val="FF0000"/>
          <w:szCs w:val="28"/>
        </w:rPr>
        <w:t xml:space="preserve"> поселения предусматриваются расходы на реализацию муниципальной программы «Развитие системы Гражданской обороны, пожарной безопасности,  безопасности на водных объектах, защиты населения от чрезвычайных ситуаций и снижения рисков их возникновения на территории </w:t>
      </w:r>
      <w:proofErr w:type="spellStart"/>
      <w:r>
        <w:rPr>
          <w:color w:val="FF0000"/>
          <w:szCs w:val="28"/>
        </w:rPr>
        <w:t>Болдыревского</w:t>
      </w:r>
      <w:proofErr w:type="spellEnd"/>
      <w:r>
        <w:rPr>
          <w:color w:val="FF0000"/>
          <w:szCs w:val="28"/>
        </w:rPr>
        <w:t xml:space="preserve"> сельсовета  на 2019-2024 </w:t>
      </w:r>
      <w:proofErr w:type="spellStart"/>
      <w:r>
        <w:rPr>
          <w:color w:val="FF0000"/>
          <w:szCs w:val="28"/>
        </w:rPr>
        <w:t>гг</w:t>
      </w:r>
      <w:proofErr w:type="spellEnd"/>
      <w:r>
        <w:rPr>
          <w:color w:val="FF0000"/>
          <w:szCs w:val="28"/>
        </w:rPr>
        <w:t xml:space="preserve">».  </w:t>
      </w:r>
      <w:proofErr w:type="gramStart"/>
      <w:r>
        <w:rPr>
          <w:color w:val="FF0000"/>
          <w:szCs w:val="28"/>
        </w:rPr>
        <w:t>В  области</w:t>
      </w:r>
      <w:proofErr w:type="gramEnd"/>
      <w:r>
        <w:rPr>
          <w:color w:val="FF0000"/>
          <w:szCs w:val="28"/>
        </w:rPr>
        <w:t xml:space="preserve">  пожарной  безопасности планируются расходы на 2019 г. в сумме 25,0 </w:t>
      </w:r>
      <w:proofErr w:type="spellStart"/>
      <w:r>
        <w:rPr>
          <w:color w:val="FF0000"/>
          <w:szCs w:val="28"/>
        </w:rPr>
        <w:t>тыс.руб</w:t>
      </w:r>
      <w:proofErr w:type="spellEnd"/>
      <w:r>
        <w:rPr>
          <w:color w:val="FF0000"/>
          <w:szCs w:val="28"/>
        </w:rPr>
        <w:t xml:space="preserve">. на плановый период 2020 г в сумме 25,0 </w:t>
      </w:r>
      <w:proofErr w:type="spellStart"/>
      <w:r>
        <w:rPr>
          <w:color w:val="FF0000"/>
          <w:szCs w:val="28"/>
        </w:rPr>
        <w:t>тыс.руб</w:t>
      </w:r>
      <w:proofErr w:type="spellEnd"/>
      <w:r>
        <w:rPr>
          <w:color w:val="FF0000"/>
          <w:szCs w:val="28"/>
        </w:rPr>
        <w:t xml:space="preserve">., на  2021 годов в сумме 25,0 </w:t>
      </w:r>
      <w:proofErr w:type="spellStart"/>
      <w:r>
        <w:rPr>
          <w:color w:val="FF0000"/>
          <w:szCs w:val="28"/>
        </w:rPr>
        <w:t>тыс.руб</w:t>
      </w:r>
      <w:proofErr w:type="spellEnd"/>
      <w:r>
        <w:rPr>
          <w:color w:val="FF0000"/>
          <w:szCs w:val="28"/>
        </w:rPr>
        <w:t xml:space="preserve">. В области защиты населения и территории от чрезвычайных ситуаций природного и техногенного характера на период 2019-2021 год планируются расходы в сумме 15,0 тыс. руб. ежегодно. </w:t>
      </w:r>
    </w:p>
    <w:p w:rsidR="007132D9" w:rsidRDefault="007132D9" w:rsidP="007132D9">
      <w:pPr>
        <w:ind w:firstLine="851"/>
        <w:jc w:val="both"/>
        <w:rPr>
          <w:szCs w:val="28"/>
          <w:shd w:val="clear" w:color="auto" w:fill="FFFFFF"/>
        </w:rPr>
      </w:pPr>
    </w:p>
    <w:p w:rsidR="007132D9" w:rsidRDefault="007132D9" w:rsidP="007132D9">
      <w:pPr>
        <w:ind w:left="705"/>
        <w:jc w:val="center"/>
        <w:rPr>
          <w:b/>
          <w:bCs/>
          <w:szCs w:val="28"/>
          <w:shd w:val="clear" w:color="auto" w:fill="FFFFFF"/>
        </w:rPr>
      </w:pPr>
      <w:r>
        <w:rPr>
          <w:b/>
          <w:bCs/>
          <w:szCs w:val="28"/>
          <w:shd w:val="clear" w:color="auto" w:fill="FFFFFF"/>
        </w:rPr>
        <w:t>4. Национальная экономика</w:t>
      </w:r>
    </w:p>
    <w:p w:rsidR="007132D9" w:rsidRDefault="007132D9" w:rsidP="007132D9">
      <w:pPr>
        <w:ind w:left="705"/>
        <w:jc w:val="center"/>
        <w:rPr>
          <w:b/>
          <w:bCs/>
          <w:szCs w:val="28"/>
          <w:shd w:val="clear" w:color="auto" w:fill="FFFFFF"/>
        </w:rPr>
      </w:pPr>
    </w:p>
    <w:p w:rsidR="007132D9" w:rsidRDefault="007132D9" w:rsidP="007132D9">
      <w:pPr>
        <w:jc w:val="both"/>
        <w:rPr>
          <w:color w:val="FF0000"/>
          <w:szCs w:val="28"/>
        </w:rPr>
      </w:pPr>
      <w:r>
        <w:rPr>
          <w:szCs w:val="28"/>
        </w:rPr>
        <w:t xml:space="preserve">     </w:t>
      </w:r>
      <w:r>
        <w:rPr>
          <w:color w:val="FF0000"/>
          <w:szCs w:val="28"/>
        </w:rPr>
        <w:t xml:space="preserve">Бюджетные ассигнования Дорожного фонда </w:t>
      </w:r>
      <w:proofErr w:type="gramStart"/>
      <w:r>
        <w:rPr>
          <w:color w:val="FF0000"/>
          <w:szCs w:val="28"/>
        </w:rPr>
        <w:t>предусматриваются  на</w:t>
      </w:r>
      <w:proofErr w:type="gramEnd"/>
      <w:r>
        <w:rPr>
          <w:color w:val="FF0000"/>
          <w:szCs w:val="28"/>
        </w:rPr>
        <w:t xml:space="preserve"> 2019 г в сумме 440,6 тыс. рублей, на плановый период  2020  и 2021 годы в сумме также в сумме 440,6 </w:t>
      </w:r>
      <w:proofErr w:type="spellStart"/>
      <w:r>
        <w:rPr>
          <w:color w:val="FF0000"/>
          <w:szCs w:val="28"/>
        </w:rPr>
        <w:t>тыс.руб</w:t>
      </w:r>
      <w:proofErr w:type="spellEnd"/>
      <w:r>
        <w:rPr>
          <w:color w:val="FF0000"/>
          <w:szCs w:val="28"/>
        </w:rPr>
        <w:t>. ежегодно соответственно в размере прогнозируемого объема поступлений акцизов.</w:t>
      </w:r>
    </w:p>
    <w:p w:rsidR="007132D9" w:rsidRDefault="007132D9" w:rsidP="007132D9">
      <w:pPr>
        <w:jc w:val="both"/>
        <w:rPr>
          <w:rFonts w:eastAsia="Times New Roman"/>
          <w:color w:val="FF0000"/>
          <w:szCs w:val="28"/>
          <w:lang w:eastAsia="ru-RU"/>
        </w:rPr>
      </w:pPr>
      <w:r>
        <w:rPr>
          <w:rFonts w:eastAsia="Times New Roman"/>
          <w:color w:val="FF0000"/>
          <w:szCs w:val="28"/>
          <w:lang w:eastAsia="ru-RU"/>
        </w:rPr>
        <w:t xml:space="preserve">     Также предусматриваются межбюджетные трансферты району на исполнение переданных полномочий в части резервирования и изъятия земельных участков в границах поселений, выдачи разрешений на строительство и разрешений на ввод объектов в эксплуатацию на 2019 год и плановый период 2020 и 2021 гг.  по 1,8 тыс. рублей ежегодно.</w:t>
      </w:r>
    </w:p>
    <w:p w:rsidR="007132D9" w:rsidRDefault="007132D9" w:rsidP="007132D9">
      <w:pPr>
        <w:ind w:firstLine="851"/>
        <w:jc w:val="both"/>
        <w:rPr>
          <w:szCs w:val="28"/>
          <w:shd w:val="clear" w:color="auto" w:fill="FFFFFF"/>
        </w:rPr>
      </w:pPr>
      <w:r>
        <w:t xml:space="preserve"> </w:t>
      </w:r>
    </w:p>
    <w:p w:rsidR="007132D9" w:rsidRDefault="007132D9" w:rsidP="007132D9">
      <w:pPr>
        <w:pStyle w:val="ConsPlusNormal"/>
        <w:ind w:firstLine="851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коммунальное хозяйство</w:t>
      </w:r>
    </w:p>
    <w:p w:rsidR="007132D9" w:rsidRDefault="007132D9" w:rsidP="007132D9">
      <w:pPr>
        <w:ind w:firstLine="851"/>
        <w:jc w:val="both"/>
        <w:rPr>
          <w:szCs w:val="28"/>
          <w:shd w:val="clear" w:color="auto" w:fill="FFFFFF"/>
        </w:rPr>
      </w:pPr>
    </w:p>
    <w:p w:rsidR="007132D9" w:rsidRDefault="007132D9" w:rsidP="007132D9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В бюджете поселения предусматриваются расходы на реализацию муниципальной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программы  "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Комплексное развитие жилищно-коммунального хозяйства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Болдыревского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района Оренбургской области на 2019-2024 годы".  В рамках данной программы планируются расходы:</w:t>
      </w:r>
    </w:p>
    <w:p w:rsidR="007132D9" w:rsidRDefault="007132D9" w:rsidP="007132D9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- приобретение глубинных насосов – 60,0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. на 2019 год, 60,0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на  2020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год, 60,0 тыс. руб. на 2021 год</w:t>
      </w:r>
    </w:p>
    <w:p w:rsidR="007132D9" w:rsidRDefault="007132D9" w:rsidP="007132D9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ремонт водопровода на 2019 год и 2020 год – по 150,0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., на 2021 год – 250,0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7132D9" w:rsidRDefault="007132D9" w:rsidP="007132D9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132D9" w:rsidRDefault="007132D9" w:rsidP="007132D9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 бюджете поселения предусматриваются расходы на реализацию муниципальной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программы  "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Благоустройство территории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Болдыревского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  на 2019-2024 годы".  В рамках данной программы планируются расходы:</w:t>
      </w:r>
    </w:p>
    <w:p w:rsidR="007132D9" w:rsidRDefault="007132D9" w:rsidP="007132D9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Благоустройство территории на 2019 год в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сумме  88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,9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. на плановый период 2020-2021 годов 186,8 тыс. руб. и 91,3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. соответственно.</w:t>
      </w:r>
    </w:p>
    <w:p w:rsidR="007132D9" w:rsidRDefault="007132D9" w:rsidP="007132D9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Уборка территории на 2019 год в сумме 100,0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., на 2020 год – 50,0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., на 2021 год – 100,0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7132D9" w:rsidRDefault="007132D9" w:rsidP="007132D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</w:t>
      </w:r>
    </w:p>
    <w:p w:rsidR="007132D9" w:rsidRDefault="007132D9" w:rsidP="007132D9">
      <w:pPr>
        <w:pStyle w:val="ConsPlusNormal"/>
        <w:ind w:firstLine="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6. Культура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  кинематография</w:t>
      </w:r>
      <w:proofErr w:type="gramEnd"/>
    </w:p>
    <w:p w:rsidR="007132D9" w:rsidRDefault="007132D9" w:rsidP="007132D9">
      <w:pPr>
        <w:pStyle w:val="ConsPlusNormal"/>
        <w:ind w:firstLine="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7132D9" w:rsidRDefault="007132D9" w:rsidP="007132D9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В бюджете поселения предусматриваются расходы на реализацию муниципальной программы  «Развитие культуры на территории муниципального образования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района Оренбургской области на 2019-2024 годы» В рамках данной программы планируются расходы: передача  полномочий  сельским поселением по финансированию учреждений культуры  на районный бюджет с передачей средств на осуществление этих полномочий на 2019 год в сумме  2253,7 тыс. рублей, на 2019 и 2020 годы в сумме 2253,7 тыс. руб. и 2253,7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. соответственно.</w:t>
      </w:r>
    </w:p>
    <w:p w:rsidR="007132D9" w:rsidRDefault="007132D9" w:rsidP="007132D9">
      <w:pPr>
        <w:pStyle w:val="ConsNormal"/>
        <w:tabs>
          <w:tab w:val="left" w:pos="6855"/>
        </w:tabs>
        <w:ind w:right="0" w:firstLine="34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7132D9" w:rsidRDefault="007132D9" w:rsidP="007132D9">
      <w:pPr>
        <w:pStyle w:val="ConsNormal"/>
        <w:tabs>
          <w:tab w:val="left" w:pos="6855"/>
        </w:tabs>
        <w:ind w:right="0" w:firstLine="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32D9" w:rsidRDefault="007132D9" w:rsidP="007132D9">
      <w:pPr>
        <w:pStyle w:val="ConsNormal"/>
        <w:tabs>
          <w:tab w:val="left" w:pos="6855"/>
        </w:tabs>
        <w:ind w:right="0" w:firstLine="3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7.Условно утвержденные расходы</w:t>
      </w:r>
    </w:p>
    <w:p w:rsidR="007132D9" w:rsidRDefault="007132D9" w:rsidP="007132D9">
      <w:pPr>
        <w:pStyle w:val="ConsNormal"/>
        <w:tabs>
          <w:tab w:val="left" w:pos="6855"/>
        </w:tabs>
        <w:ind w:right="0" w:firstLine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32D9" w:rsidRDefault="007132D9" w:rsidP="007132D9">
      <w:pPr>
        <w:pStyle w:val="ConsNormal"/>
        <w:tabs>
          <w:tab w:val="left" w:pos="6855"/>
        </w:tabs>
        <w:ind w:right="0" w:firstLine="34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7132D9" w:rsidRDefault="007132D9" w:rsidP="007132D9">
      <w:pPr>
        <w:pStyle w:val="ConsNormal"/>
        <w:tabs>
          <w:tab w:val="left" w:pos="6855"/>
        </w:tabs>
        <w:ind w:right="0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В бюджете поселения предусмотрены условно утвержденные расходы на плановый период 2021 и 2022 годов в сумме 123,0 </w:t>
      </w: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</w:rPr>
        <w:t>. и 256,0 тыс. руб. соответственно.</w:t>
      </w: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42"/>
    <w:rsid w:val="003958FA"/>
    <w:rsid w:val="00466BCD"/>
    <w:rsid w:val="00483F25"/>
    <w:rsid w:val="007132D9"/>
    <w:rsid w:val="00A82E42"/>
    <w:rsid w:val="00AC4FDA"/>
    <w:rsid w:val="00E8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F7C23-DE34-4836-8224-59E7DE00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2D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2D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7132D9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132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132D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2965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2022-07-14T07:01:00Z</dcterms:created>
  <dcterms:modified xsi:type="dcterms:W3CDTF">2022-12-05T11:15:00Z</dcterms:modified>
</cp:coreProperties>
</file>